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99" w:rsidRDefault="00B47F99">
      <w:pPr>
        <w:widowControl w:val="0"/>
        <w:autoSpaceDE w:val="0"/>
        <w:autoSpaceDN w:val="0"/>
        <w:adjustRightInd w:val="0"/>
        <w:spacing w:after="0" w:line="240" w:lineRule="auto"/>
        <w:jc w:val="both"/>
        <w:outlineLvl w:val="0"/>
        <w:rPr>
          <w:rFonts w:ascii="Calibri" w:hAnsi="Calibri" w:cs="Calibri"/>
        </w:rPr>
      </w:pPr>
    </w:p>
    <w:p w:rsidR="00B47F99" w:rsidRDefault="00B47F99">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28 ноября 2012 г. N 25948</w:t>
      </w:r>
    </w:p>
    <w:p w:rsidR="00B47F99" w:rsidRDefault="00B47F9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7F99" w:rsidRDefault="00B47F99">
      <w:pPr>
        <w:widowControl w:val="0"/>
        <w:autoSpaceDE w:val="0"/>
        <w:autoSpaceDN w:val="0"/>
        <w:adjustRightInd w:val="0"/>
        <w:spacing w:after="0" w:line="240" w:lineRule="auto"/>
        <w:rPr>
          <w:rFonts w:ascii="Calibri" w:hAnsi="Calibri" w:cs="Calibri"/>
        </w:rPr>
      </w:pP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ТАРИФАМИ</w:t>
      </w:r>
    </w:p>
    <w:p w:rsidR="00B47F99" w:rsidRDefault="00B47F99">
      <w:pPr>
        <w:widowControl w:val="0"/>
        <w:autoSpaceDE w:val="0"/>
        <w:autoSpaceDN w:val="0"/>
        <w:adjustRightInd w:val="0"/>
        <w:spacing w:after="0" w:line="240" w:lineRule="auto"/>
        <w:jc w:val="center"/>
        <w:rPr>
          <w:rFonts w:ascii="Calibri" w:hAnsi="Calibri" w:cs="Calibri"/>
          <w:b/>
          <w:bCs/>
        </w:rPr>
      </w:pP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сентября 2012 г. N 209-э/1</w:t>
      </w:r>
    </w:p>
    <w:p w:rsidR="00B47F99" w:rsidRDefault="00B47F99">
      <w:pPr>
        <w:widowControl w:val="0"/>
        <w:autoSpaceDE w:val="0"/>
        <w:autoSpaceDN w:val="0"/>
        <w:adjustRightInd w:val="0"/>
        <w:spacing w:after="0" w:line="240" w:lineRule="auto"/>
        <w:jc w:val="center"/>
        <w:rPr>
          <w:rFonts w:ascii="Calibri" w:hAnsi="Calibri" w:cs="Calibri"/>
          <w:b/>
          <w:bCs/>
        </w:rPr>
      </w:pP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УКАЗАНИЙ</w:t>
      </w: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ОПРЕДЕЛЕНИЮ РАЗМЕРА ПЛАТЫ ЗА ТЕХНОЛОГИЧЕСКОЕ</w:t>
      </w: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ПРИСОЕДИНЕНИЕ К ЭЛЕКТРИЧЕСКИМ СЕТЯМ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N 31, ст. 4157, N 31, ст. 4158, N 31, ст. 4160; 2011, N 1, ст. 13; N 7, ст. 905; N 11, ст. 1502; N 23, ст. 3263; N 30 (часть I), ст. 4590; 4596; N 50, ст. 7336, 7343; 2012, N 26, ст. 3446; N 27, ст. 3587), </w:t>
      </w:r>
      <w:hyperlink r:id="rId5" w:history="1">
        <w:r>
          <w:rPr>
            <w:rFonts w:ascii="Calibri" w:hAnsi="Calibri" w:cs="Calibri"/>
            <w:color w:val="0000FF"/>
          </w:rPr>
          <w:t>Положением</w:t>
        </w:r>
      </w:hyperlink>
      <w:r>
        <w:rPr>
          <w:rFonts w:ascii="Calibri" w:hAnsi="Calibri" w:cs="Calibri"/>
        </w:rP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w:t>
      </w:r>
      <w:hyperlink r:id="rId7"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 приказываю:</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Методические указания</w:t>
        </w:r>
      </w:hyperlink>
      <w:r>
        <w:rPr>
          <w:rFonts w:ascii="Calibri" w:hAnsi="Calibri" w:cs="Calibri"/>
        </w:rPr>
        <w:t xml:space="preserve"> по определению размера платы за технологическое присоединение к электрическим сетям согласно приложению к приказу.</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ФСТ России: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 30.11.2010 </w:t>
      </w:r>
      <w:hyperlink r:id="rId8" w:history="1">
        <w:r>
          <w:rPr>
            <w:rFonts w:ascii="Calibri" w:hAnsi="Calibri" w:cs="Calibri"/>
            <w:color w:val="0000FF"/>
          </w:rPr>
          <w:t>N 365-э/5</w:t>
        </w:r>
      </w:hyperlink>
      <w:r>
        <w:rPr>
          <w:rFonts w:ascii="Calibri" w:hAnsi="Calibri" w:cs="Calibri"/>
        </w:rP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22 декабря 2010 года, регистрационный N 19341);</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 09.08.2011 </w:t>
      </w:r>
      <w:hyperlink r:id="rId9" w:history="1">
        <w:r>
          <w:rPr>
            <w:rFonts w:ascii="Calibri" w:hAnsi="Calibri" w:cs="Calibri"/>
            <w:color w:val="0000FF"/>
          </w:rPr>
          <w:t>N 190-э/1</w:t>
        </w:r>
      </w:hyperlink>
      <w:r>
        <w:rPr>
          <w:rFonts w:ascii="Calibri" w:hAnsi="Calibri" w:cs="Calibri"/>
        </w:rP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службы по тарифам от 30 ноября 2010 года N 365-э/5" (зарегистрирован Минюстом России 7 сентября 2011 года, регистрационный N 21751).</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в установленном порядке.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службы по тарифам</w:t>
      </w: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С.НОВИКОВ</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right"/>
        <w:outlineLvl w:val="0"/>
        <w:rPr>
          <w:rFonts w:ascii="Calibri" w:hAnsi="Calibri" w:cs="Calibri"/>
        </w:rPr>
      </w:pPr>
      <w:bookmarkStart w:id="1" w:name="Par28"/>
      <w:bookmarkEnd w:id="1"/>
      <w:r>
        <w:rPr>
          <w:rFonts w:ascii="Calibri" w:hAnsi="Calibri" w:cs="Calibri"/>
        </w:rPr>
        <w:t>Приложение</w:t>
      </w:r>
    </w:p>
    <w:p w:rsidR="00B47F99" w:rsidRDefault="00B47F99">
      <w:pPr>
        <w:widowControl w:val="0"/>
        <w:autoSpaceDE w:val="0"/>
        <w:autoSpaceDN w:val="0"/>
        <w:adjustRightInd w:val="0"/>
        <w:spacing w:after="0" w:line="240" w:lineRule="auto"/>
        <w:jc w:val="right"/>
        <w:rPr>
          <w:rFonts w:ascii="Calibri" w:hAnsi="Calibri" w:cs="Calibri"/>
        </w:rPr>
      </w:pPr>
    </w:p>
    <w:p w:rsidR="00B47F99" w:rsidRDefault="00B47F99">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МЕТОДИЧЕСКИЕ УКАЗАНИЯ</w:t>
      </w: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ОПРЕДЕЛЕНИЮ РАЗМЕРА ПЛАТЫ ЗА ТЕХНОЛОГИЧЕСКОЕ</w:t>
      </w:r>
    </w:p>
    <w:p w:rsidR="00B47F99" w:rsidRDefault="00B47F9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ПРИСОЕДИНЕНИЕ К ЭЛЕКТРИЧЕСКИМ СЕТЯМ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outlineLvl w:val="1"/>
        <w:rPr>
          <w:rFonts w:ascii="Calibri" w:hAnsi="Calibri" w:cs="Calibri"/>
        </w:rPr>
      </w:pPr>
      <w:bookmarkStart w:id="3" w:name="Par34"/>
      <w:bookmarkEnd w:id="3"/>
      <w:r>
        <w:rPr>
          <w:rFonts w:ascii="Calibri" w:hAnsi="Calibri" w:cs="Calibri"/>
        </w:rPr>
        <w:t>I. Общие положения</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Методические указания по определению размера платы за технологическое присоединение к электрическим сетям (далее - Методические указания) разработаны 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N 31, ст. 4158; ст. 4160; 2011, N 1, ст. 13; N 7, ст. 905; N 11, ст. 1502; N 23, ст. 3263; N 30 (часть I), ст. 4590; N 30 (часть I), ст. 4596; N 50, ст. 7336; N 50, ст. 7343; 2012, N 26, ст. 3446; N 27, ст. 3587), </w:t>
      </w:r>
      <w:hyperlink r:id="rId1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29 декабря 2011 года N 1178 "О ценообразовании в области регулируемых цен (тарифов) в электроэнергетике" (Собрание законодательства Российской Федерации, 2012, N 4, ст. 504; N 16, ст. 1883; N 20, ст. 2539; N 23, ст. 3008; N 24, ст. 3185; N 28, ст. 3897; N 41, ст. 5636), </w:t>
      </w:r>
      <w:hyperlink r:id="rId12"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Методические указания определяют основные положения по расчету размера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(далее - плата за технологическое присоединение) сетевых организаций, и предназначены для использования Федеральной службой по тарифам (далее - Служба),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Понятия, используемые в Методических указаниях, соответствуют определениям, данным в Федеральном </w:t>
      </w:r>
      <w:hyperlink r:id="rId13" w:history="1">
        <w:r>
          <w:rPr>
            <w:rFonts w:ascii="Calibri" w:hAnsi="Calibri" w:cs="Calibri"/>
            <w:color w:val="0000FF"/>
          </w:rPr>
          <w:t>законе</w:t>
        </w:r>
      </w:hyperlink>
      <w:r>
        <w:rPr>
          <w:rFonts w:ascii="Calibri" w:hAnsi="Calibri" w:cs="Calibri"/>
        </w:rPr>
        <w:t xml:space="preserve"> от 26 марта 2003 г. N 35-ФЗ "Об электроэнергетике", </w:t>
      </w:r>
      <w:hyperlink r:id="rId14" w:history="1">
        <w:r>
          <w:rPr>
            <w:rFonts w:ascii="Calibri" w:hAnsi="Calibri" w:cs="Calibri"/>
            <w:color w:val="0000FF"/>
          </w:rPr>
          <w:t>Основах</w:t>
        </w:r>
      </w:hyperlink>
      <w:r>
        <w:rPr>
          <w:rFonts w:ascii="Calibri" w:hAnsi="Calibri" w:cs="Calibri"/>
        </w:rPr>
        <w:t xml:space="preserve"> ценообразования в области регулируемых цен (тарифов) в электроэнергетике (далее - Основы ценообразования), утвержденных постановлением Правительства Российской Федерации от 29 декабря 2011 года N 1178" (Собрание законодательства Российской Федерации, 2012, N 4, ст. 504; N 16, ст. 1883; N 20, ст. 2539; N 23, ст. 3008; N 24, ст. 3185; N 28, ст. 3897; N 41, ст. 5636) и в </w:t>
      </w:r>
      <w:hyperlink r:id="rId15"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w:t>
      </w:r>
      <w:r>
        <w:rPr>
          <w:rFonts w:ascii="Calibri" w:hAnsi="Calibri" w:cs="Calibri"/>
        </w:rPr>
        <w:lastRenderedPageBreak/>
        <w:t>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Плата за технологическое присоединение рассчитывается в случаях присоединения впервые вводимых в эксплуатацию, ранее присоединенных реконструируемых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при изменении категории надежности рассчитывается за объем максимальной мощности энергопринимающих устройств Заявителя, у которых изменяется категория надежности.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за объем максимальной мощности, указанный в заявке на технологическое присоединение.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Плата за технологическое присоединение взимается однократно &lt;1&gt;.</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 </w:t>
      </w:r>
      <w:hyperlink r:id="rId16" w:history="1">
        <w:r>
          <w:rPr>
            <w:rFonts w:ascii="Calibri" w:hAnsi="Calibri" w:cs="Calibri"/>
            <w:color w:val="0000FF"/>
          </w:rPr>
          <w:t>частью 1 статьи 26</w:t>
        </w:r>
      </w:hyperlink>
      <w:r>
        <w:rPr>
          <w:rFonts w:ascii="Calibri" w:hAnsi="Calibri" w:cs="Calibri"/>
        </w:rPr>
        <w:t xml:space="preserve"> Федерального закона от 26.03.2003 N 35-ФЗ "Об электроэнергетике".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Федеральной службой по тарифам устанавливается размер платы за технологическое присоединение к Единой национальной (общероссийской) электрической сети (далее - ЕНЭС), индивидуально для конкретного Заявителя при обращении в Федеральную службу по тарифам при необходимости выполнения мероприятий, указанных в </w:t>
      </w:r>
      <w:hyperlink w:anchor="Par197" w:history="1">
        <w:r>
          <w:rPr>
            <w:rFonts w:ascii="Calibri" w:hAnsi="Calibri" w:cs="Calibri"/>
            <w:color w:val="0000FF"/>
          </w:rPr>
          <w:t>Приложении N 1</w:t>
        </w:r>
      </w:hyperlink>
      <w:r>
        <w:rPr>
          <w:rFonts w:ascii="Calibri" w:hAnsi="Calibri" w:cs="Calibri"/>
        </w:rPr>
        <w:t xml:space="preserve"> к Методическим указаниям, или в виде формулы, определяемой в соответствии с </w:t>
      </w:r>
      <w:hyperlink w:anchor="Par172" w:history="1">
        <w:r>
          <w:rPr>
            <w:rFonts w:ascii="Calibri" w:hAnsi="Calibri" w:cs="Calibri"/>
            <w:color w:val="0000FF"/>
          </w:rPr>
          <w:t>п. 32</w:t>
        </w:r>
      </w:hyperlink>
      <w:r>
        <w:rPr>
          <w:rFonts w:ascii="Calibri" w:hAnsi="Calibri" w:cs="Calibri"/>
        </w:rPr>
        <w:t xml:space="preserve"> Методических указаний, в случае осуществления мероприятий, включаемых в стандартизированную тарифную ставку C1, указанную в </w:t>
      </w:r>
      <w:hyperlink w:anchor="Par142" w:history="1">
        <w:r>
          <w:rPr>
            <w:rFonts w:ascii="Calibri" w:hAnsi="Calibri" w:cs="Calibri"/>
            <w:color w:val="0000FF"/>
          </w:rPr>
          <w:t>пункте 30</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Органами исполнительной власти субъектов Российской Федерации в области государственного регулирования тарифов для расчета платы за технологическое присоединение к территориальным распределительным сетям утверждаются: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период регулирования: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стандартизированные тарифные ставки согласно </w:t>
      </w:r>
      <w:hyperlink w:anchor="Par139" w:history="1">
        <w:r>
          <w:rPr>
            <w:rFonts w:ascii="Calibri" w:hAnsi="Calibri" w:cs="Calibri"/>
            <w:color w:val="0000FF"/>
          </w:rPr>
          <w:t>Главе IV</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ставки за единицу максимальной мощности (руб./кВт) на период регулирования согласно </w:t>
      </w:r>
      <w:hyperlink w:anchor="Par271" w:history="1">
        <w:r>
          <w:rPr>
            <w:rFonts w:ascii="Calibri" w:hAnsi="Calibri" w:cs="Calibri"/>
            <w:color w:val="0000FF"/>
          </w:rPr>
          <w:t>Приложению N 2</w:t>
        </w:r>
      </w:hyperlink>
      <w:r>
        <w:rPr>
          <w:rFonts w:ascii="Calibri" w:hAnsi="Calibri" w:cs="Calibri"/>
        </w:rPr>
        <w:t xml:space="preserve"> к Методическим указаниям, рассчитанные в соответствии с </w:t>
      </w:r>
      <w:hyperlink w:anchor="Par53" w:history="1">
        <w:r>
          <w:rPr>
            <w:rFonts w:ascii="Calibri" w:hAnsi="Calibri" w:cs="Calibri"/>
            <w:color w:val="0000FF"/>
          </w:rPr>
          <w:t>п. 8</w:t>
        </w:r>
      </w:hyperlink>
      <w:r>
        <w:rPr>
          <w:rFonts w:ascii="Calibri" w:hAnsi="Calibri" w:cs="Calibri"/>
        </w:rPr>
        <w:t xml:space="preserve"> и </w:t>
      </w:r>
      <w:hyperlink w:anchor="Par55" w:history="1">
        <w:r>
          <w:rPr>
            <w:rFonts w:ascii="Calibri" w:hAnsi="Calibri" w:cs="Calibri"/>
            <w:color w:val="0000FF"/>
          </w:rPr>
          <w:t>п. 9</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формула платы за технологическое присоединение;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технологическое присоединение к территориальным распределительным электрическим сетям энергопринимающих устройств отдельных потребителей и объектов по производству электрической энергии максимальной мощностью не менее 8 900 кВт и на уровне напряжения не ниже 35 кВ, а также при присоединении по индивидуальному проекту.</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4" w:name="Par53"/>
      <w:bookmarkEnd w:id="4"/>
      <w:r>
        <w:rPr>
          <w:rFonts w:ascii="Calibri" w:hAnsi="Calibri" w:cs="Calibri"/>
        </w:rPr>
        <w:t xml:space="preserve">8. Сетевая организация определяет на период регулирования плановые экономически обоснованные расходы на выполнение мероприятий по технологическому присоединению к ее сетям Устройств юридических и физических лиц путем расчета необходимой валовой выручки (далее - НВВ) согласно </w:t>
      </w:r>
      <w:hyperlink r:id="rId17" w:history="1">
        <w:r>
          <w:rPr>
            <w:rFonts w:ascii="Calibri" w:hAnsi="Calibri" w:cs="Calibri"/>
            <w:color w:val="0000FF"/>
          </w:rPr>
          <w:t>Основам</w:t>
        </w:r>
      </w:hyperlink>
      <w:r>
        <w:rPr>
          <w:rFonts w:ascii="Calibri" w:hAnsi="Calibri" w:cs="Calibri"/>
        </w:rPr>
        <w:t xml:space="preserve"> ценообразования в соответствии с </w:t>
      </w:r>
      <w:hyperlink w:anchor="Par376" w:history="1">
        <w:r>
          <w:rPr>
            <w:rFonts w:ascii="Calibri" w:hAnsi="Calibri" w:cs="Calibri"/>
            <w:color w:val="0000FF"/>
          </w:rPr>
          <w:t>Приложением N 3</w:t>
        </w:r>
      </w:hyperlink>
      <w:r>
        <w:rPr>
          <w:rFonts w:ascii="Calibri" w:hAnsi="Calibri" w:cs="Calibri"/>
        </w:rPr>
        <w:t xml:space="preserve"> 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НВВ включаются расходы на выполнение мероприятий, указанных в </w:t>
      </w:r>
      <w:hyperlink w:anchor="Par69" w:history="1">
        <w:r>
          <w:rPr>
            <w:rFonts w:ascii="Calibri" w:hAnsi="Calibri" w:cs="Calibri"/>
            <w:color w:val="0000FF"/>
          </w:rPr>
          <w:t>подпунктах "а"</w:t>
        </w:r>
      </w:hyperlink>
      <w:r>
        <w:rPr>
          <w:rFonts w:ascii="Calibri" w:hAnsi="Calibri" w:cs="Calibri"/>
        </w:rPr>
        <w:t xml:space="preserve">, </w:t>
      </w:r>
      <w:hyperlink w:anchor="Par72" w:history="1">
        <w:r>
          <w:rPr>
            <w:rFonts w:ascii="Calibri" w:hAnsi="Calibri" w:cs="Calibri"/>
            <w:color w:val="0000FF"/>
          </w:rPr>
          <w:t>"г"</w:t>
        </w:r>
      </w:hyperlink>
      <w:r>
        <w:rPr>
          <w:rFonts w:ascii="Calibri" w:hAnsi="Calibri" w:cs="Calibri"/>
        </w:rPr>
        <w:t xml:space="preserve"> - </w:t>
      </w:r>
      <w:hyperlink w:anchor="Par74" w:history="1">
        <w:r>
          <w:rPr>
            <w:rFonts w:ascii="Calibri" w:hAnsi="Calibri" w:cs="Calibri"/>
            <w:color w:val="0000FF"/>
          </w:rPr>
          <w:t>"е" пункта 16</w:t>
        </w:r>
      </w:hyperlink>
      <w:r>
        <w:rPr>
          <w:rFonts w:ascii="Calibri" w:hAnsi="Calibri" w:cs="Calibri"/>
        </w:rPr>
        <w:t xml:space="preserve"> Методических указаний и расходы по мероприятиям, указанным в </w:t>
      </w:r>
      <w:hyperlink w:anchor="Par70" w:history="1">
        <w:r>
          <w:rPr>
            <w:rFonts w:ascii="Calibri" w:hAnsi="Calibri" w:cs="Calibri"/>
            <w:color w:val="0000FF"/>
          </w:rPr>
          <w:t>подпунктах "б"</w:t>
        </w:r>
      </w:hyperlink>
      <w:r>
        <w:rPr>
          <w:rFonts w:ascii="Calibri" w:hAnsi="Calibri" w:cs="Calibri"/>
        </w:rPr>
        <w:t xml:space="preserve"> и </w:t>
      </w:r>
      <w:hyperlink w:anchor="Par71" w:history="1">
        <w:r>
          <w:rPr>
            <w:rFonts w:ascii="Calibri" w:hAnsi="Calibri" w:cs="Calibri"/>
            <w:color w:val="0000FF"/>
          </w:rPr>
          <w:t>"в" пункта 16</w:t>
        </w:r>
      </w:hyperlink>
      <w:r>
        <w:rPr>
          <w:rFonts w:ascii="Calibri" w:hAnsi="Calibri" w:cs="Calibri"/>
        </w:rP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мероприятия "последней мили"). Расходы на мероприятия "последней мили" определяются в </w:t>
      </w:r>
      <w:r>
        <w:rPr>
          <w:rFonts w:ascii="Calibri" w:hAnsi="Calibri" w:cs="Calibri"/>
        </w:rPr>
        <w:lastRenderedPageBreak/>
        <w:t xml:space="preserve">соответствии с </w:t>
      </w:r>
      <w:hyperlink w:anchor="Par179" w:history="1">
        <w:r>
          <w:rPr>
            <w:rFonts w:ascii="Calibri" w:hAnsi="Calibri" w:cs="Calibri"/>
            <w:color w:val="0000FF"/>
          </w:rPr>
          <w:t>Главой V</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5" w:name="Par55"/>
      <w:bookmarkEnd w:id="5"/>
      <w:r>
        <w:rPr>
          <w:rFonts w:ascii="Calibri" w:hAnsi="Calibri" w:cs="Calibri"/>
        </w:rPr>
        <w:t xml:space="preserve">9. Расходы по мероприятиям "последней мили" на регулируемый период при определении ставок за единицу максимальной мощности (руб./кВт) определяются исходя из фактических средних данных (о присоединенных объемах максимальной мощности, длине линий, объемах максимальной мощности построенных объектов согласно </w:t>
      </w:r>
      <w:hyperlink w:anchor="Par237" w:history="1">
        <w:r>
          <w:rPr>
            <w:rFonts w:ascii="Calibri" w:hAnsi="Calibri" w:cs="Calibri"/>
            <w:color w:val="0000FF"/>
          </w:rPr>
          <w:t>п. 3</w:t>
        </w:r>
      </w:hyperlink>
      <w:r>
        <w:rPr>
          <w:rFonts w:ascii="Calibri" w:hAnsi="Calibri" w:cs="Calibri"/>
        </w:rPr>
        <w:t xml:space="preserve">, </w:t>
      </w:r>
      <w:hyperlink w:anchor="Par248" w:history="1">
        <w:r>
          <w:rPr>
            <w:rFonts w:ascii="Calibri" w:hAnsi="Calibri" w:cs="Calibri"/>
            <w:color w:val="0000FF"/>
          </w:rPr>
          <w:t>4</w:t>
        </w:r>
      </w:hyperlink>
      <w:r>
        <w:rPr>
          <w:rFonts w:ascii="Calibri" w:hAnsi="Calibri" w:cs="Calibri"/>
        </w:rPr>
        <w:t xml:space="preserve"> указанного в Приложении N 1 к Методическим указаниям) за три предыдущих года по каждому мероприятию, и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расходы для утверждения регулирующим органом стандартизированных тарифных ставок определяются исходя из сметно-нормативной базы ценообразования 2001 года.</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Сетевая организация представляет в регулирующий орган сведения о планируемых расходах за технологическое присоединение единицы максимальной мощности (руб./кВт) на очередной календарный год, рассчитываемых в соответствии с </w:t>
      </w:r>
      <w:hyperlink w:anchor="Par271" w:history="1">
        <w:r>
          <w:rPr>
            <w:rFonts w:ascii="Calibri" w:hAnsi="Calibri" w:cs="Calibri"/>
            <w:color w:val="0000FF"/>
          </w:rPr>
          <w:t>Приложением N 2</w:t>
        </w:r>
      </w:hyperlink>
      <w:r>
        <w:rPr>
          <w:rFonts w:ascii="Calibri" w:hAnsi="Calibri" w:cs="Calibri"/>
        </w:rPr>
        <w:t xml:space="preserve"> к Методическим указаниям, отдельно по каждому мероприятию. На основании указанных сведений регулирующим органом утверждаются на регулируемый период ставки по каждому мероприятию, определенному в указанном </w:t>
      </w:r>
      <w:hyperlink w:anchor="Par271" w:history="1">
        <w:r>
          <w:rPr>
            <w:rFonts w:ascii="Calibri" w:hAnsi="Calibri" w:cs="Calibri"/>
            <w:color w:val="0000FF"/>
          </w:rPr>
          <w:t>Приложении</w:t>
        </w:r>
      </w:hyperlink>
      <w:r>
        <w:rPr>
          <w:rFonts w:ascii="Calibri" w:hAnsi="Calibri" w:cs="Calibri"/>
        </w:rPr>
        <w:t>.</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Сетевая организация на основе утвержденных ставок и максимальной мощности, запрашиваемой Заявителем, рассчитывает размер платы за технологическое присоединение для данного Заявителя, включая расходы по мероприятиям, указанным в </w:t>
      </w:r>
      <w:hyperlink w:anchor="Par68" w:history="1">
        <w:r>
          <w:rPr>
            <w:rFonts w:ascii="Calibri" w:hAnsi="Calibri" w:cs="Calibri"/>
            <w:color w:val="0000FF"/>
          </w:rPr>
          <w:t>п. 16</w:t>
        </w:r>
      </w:hyperlink>
      <w:r>
        <w:rPr>
          <w:rFonts w:ascii="Calibri" w:hAnsi="Calibri" w:cs="Calibri"/>
        </w:rPr>
        <w:t xml:space="preserve"> (кроме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xml:space="preserve">) Методических указаний, и расходы по мероприятиям "последней мили", указанных в </w:t>
      </w:r>
      <w:hyperlink w:anchor="Par197" w:history="1">
        <w:r>
          <w:rPr>
            <w:rFonts w:ascii="Calibri" w:hAnsi="Calibri" w:cs="Calibri"/>
            <w:color w:val="0000FF"/>
          </w:rPr>
          <w:t>Приложении N 1</w:t>
        </w:r>
      </w:hyperlink>
      <w:r>
        <w:rPr>
          <w:rFonts w:ascii="Calibri" w:hAnsi="Calibri" w:cs="Calibri"/>
        </w:rPr>
        <w:t xml:space="preserve"> к Методическим указаниям, осуществляемых на основании выданных сетевой организацией технических условий в зависимости от способа его технологического присоединения и уровня запрашиваемого напряжения.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учитываются при установлении платы за технологическое присоединение к электрическим сетям.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установлении платы за технологическое присоединение по индивидуальному проекту, регулирующий орган определяет расходы сетевой организации на реконструкцию и (или) новое строительство, связанные с данным присоединением, объем которых согласно </w:t>
      </w:r>
      <w:hyperlink r:id="rId18" w:history="1">
        <w:r>
          <w:rPr>
            <w:rFonts w:ascii="Calibri" w:hAnsi="Calibri" w:cs="Calibri"/>
            <w:color w:val="0000FF"/>
          </w:rPr>
          <w:t>п. 7</w:t>
        </w:r>
      </w:hyperlink>
      <w:r>
        <w:rPr>
          <w:rFonts w:ascii="Calibri" w:hAnsi="Calibri" w:cs="Calibri"/>
        </w:rPr>
        <w:t xml:space="preserve"> Основ ценообразования учитывается при установлении тарифов на услуги по передаче электрической энергии, а также утверждает плату Заявителю за объем максимальной мощности, указанной в заявке (в тыс. рублей).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указанную плату включаются: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стоимость мероприятий, перечисленных в </w:t>
      </w:r>
      <w:hyperlink w:anchor="Par68" w:history="1">
        <w:r>
          <w:rPr>
            <w:rFonts w:ascii="Calibri" w:hAnsi="Calibri" w:cs="Calibri"/>
            <w:color w:val="0000FF"/>
          </w:rPr>
          <w:t>пункте 16</w:t>
        </w:r>
      </w:hyperlink>
      <w:r>
        <w:rPr>
          <w:rFonts w:ascii="Calibri" w:hAnsi="Calibri" w:cs="Calibri"/>
        </w:rPr>
        <w:t xml:space="preserve"> (за исключением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стоимость конкретных мероприятий из </w:t>
      </w:r>
      <w:hyperlink w:anchor="Par197" w:history="1">
        <w:r>
          <w:rPr>
            <w:rFonts w:ascii="Calibri" w:hAnsi="Calibri" w:cs="Calibri"/>
            <w:color w:val="0000FF"/>
          </w:rPr>
          <w:t>Приложения N 1</w:t>
        </w:r>
      </w:hyperlink>
      <w:r>
        <w:rPr>
          <w:rFonts w:ascii="Calibri" w:hAnsi="Calibri" w:cs="Calibri"/>
        </w:rPr>
        <w:t xml:space="preserve"> для данного Заявителя в зависимости от способа его технологического присоединения к электрическим сетям, определенного техническими условиями.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Уполномоченный орган исполнительной власти в области государственного регулирования тарифов утверждает такому Заявителю рассчитанный сетевой организацией общий размер платы за технологическое присоединение с разбивкой стоимости по каждому мероприятию, предусмотренному </w:t>
      </w:r>
      <w:hyperlink w:anchor="Par197" w:history="1">
        <w:r>
          <w:rPr>
            <w:rFonts w:ascii="Calibri" w:hAnsi="Calibri" w:cs="Calibri"/>
            <w:color w:val="0000FF"/>
          </w:rPr>
          <w:t>Приложением N 1</w:t>
        </w:r>
      </w:hyperlink>
      <w:r>
        <w:rPr>
          <w:rFonts w:ascii="Calibri" w:hAnsi="Calibri" w:cs="Calibri"/>
        </w:rPr>
        <w:t xml:space="preserve"> к Методическим указаниям, согласно техническим условиям, определяющим способ присоединения Заявителя.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по индивидуальному проекту.</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стоимость информации, предусмотренной </w:t>
      </w:r>
      <w:hyperlink r:id="rId19" w:history="1">
        <w:r>
          <w:rPr>
            <w:rFonts w:ascii="Calibri" w:hAnsi="Calibri" w:cs="Calibri"/>
            <w:color w:val="0000FF"/>
          </w:rPr>
          <w:t>пунктом 36</w:t>
        </w:r>
      </w:hyperlink>
      <w:r>
        <w:rPr>
          <w:rFonts w:ascii="Calibri" w:hAnsi="Calibri" w:cs="Calibri"/>
        </w:rPr>
        <w:t xml:space="preserve"> Правил технологического присоединения,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w:t>
      </w:r>
      <w:r>
        <w:rPr>
          <w:rFonts w:ascii="Calibri" w:hAnsi="Calibri" w:cs="Calibri"/>
        </w:rPr>
        <w:lastRenderedPageBreak/>
        <w:t>за технологическое присоединение и оплачивается отдельно в размере, не превышающем 550 рублей.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для Заявителя, в пользу которого предполагается перераспределить максимальную мощность, определяется по индивидуальному проекту исходя из расходов сетевой организации на осуществление мероприятий, связанных исключительно с мероприятиями по перераспределению максимальной мощности конкретных энергопринимающих устройств (электрических сетей) и сооружением сетевой инфраструктуры от границ участка Заявителя до электрической сети сетевой организации, и утверждается уполномоченным органом исполнительной власти в области государственного регулирования тарифов с разбивкой стоимости по каждому мероприятию.</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6" w:name="Par68"/>
      <w:bookmarkEnd w:id="6"/>
      <w:r>
        <w:rPr>
          <w:rFonts w:ascii="Calibri" w:hAnsi="Calibri" w:cs="Calibri"/>
        </w:rP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7" w:name="Par69"/>
      <w:bookmarkEnd w:id="7"/>
      <w:r>
        <w:rPr>
          <w:rFonts w:ascii="Calibri" w:hAnsi="Calibri" w:cs="Calibri"/>
        </w:rPr>
        <w:t>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8" w:name="Par70"/>
      <w:bookmarkEnd w:id="8"/>
      <w:r>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9" w:name="Par71"/>
      <w:bookmarkEnd w:id="9"/>
      <w:r>
        <w:rPr>
          <w:rFonts w:ascii="Calibri" w:hAnsi="Calibri" w:cs="Calibri"/>
        </w:rPr>
        <w:t>в) выполнение технических условий сетевой организацией, включая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0" w:name="Par72"/>
      <w:bookmarkEnd w:id="10"/>
      <w:r>
        <w:rPr>
          <w:rFonts w:ascii="Calibri" w:hAnsi="Calibri" w:cs="Calibri"/>
        </w:rPr>
        <w:t>г) проверку сетевой организацией выполнения Заявителем технических условий;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осмотр (обследование) присоединяемых Устройств должностным лицом федерального органа исполнительной власти по технологическому надзору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w:t>
      </w:r>
      <w:hyperlink r:id="rId20" w:history="1">
        <w:r>
          <w:rPr>
            <w:rFonts w:ascii="Calibri" w:hAnsi="Calibri" w:cs="Calibri"/>
            <w:color w:val="0000FF"/>
          </w:rPr>
          <w:t>Правилами</w:t>
        </w:r>
      </w:hyperlink>
      <w:r>
        <w:rPr>
          <w:rFonts w:ascii="Calibri" w:hAnsi="Calibri" w:cs="Calibri"/>
        </w:rPr>
        <w:t xml:space="preserve"> технологического присоединения согласованию с таким субъектом оперативно-диспетчерского управления (для лиц, указанных в </w:t>
      </w:r>
      <w:hyperlink r:id="rId21" w:history="1">
        <w:r>
          <w:rPr>
            <w:rFonts w:ascii="Calibri" w:hAnsi="Calibri" w:cs="Calibri"/>
            <w:color w:val="0000FF"/>
          </w:rPr>
          <w:t>пунктах 12.1</w:t>
        </w:r>
      </w:hyperlink>
      <w:r>
        <w:rPr>
          <w:rFonts w:ascii="Calibri" w:hAnsi="Calibri" w:cs="Calibri"/>
        </w:rPr>
        <w:t xml:space="preserve"> - </w:t>
      </w:r>
      <w:hyperlink r:id="rId22" w:history="1">
        <w:r>
          <w:rPr>
            <w:rFonts w:ascii="Calibri" w:hAnsi="Calibri" w:cs="Calibri"/>
            <w:color w:val="0000FF"/>
          </w:rPr>
          <w:t>14</w:t>
        </w:r>
      </w:hyperlink>
      <w:r>
        <w:rPr>
          <w:rFonts w:ascii="Calibri" w:hAnsi="Calibri" w:cs="Calibri"/>
        </w:rPr>
        <w:t xml:space="preserve"> Правил технологического присоединения, осмотр присоединяемых энергопринимающих устройств должен осуществляться с участием сетевой организации и Заявителя);</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1" w:name="Par74"/>
      <w:bookmarkEnd w:id="11"/>
      <w:r>
        <w:rPr>
          <w:rFonts w:ascii="Calibri" w:hAnsi="Calibri" w:cs="Calibri"/>
        </w:rPr>
        <w:t>е)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указанным мероприятиям сетевая организация представляет калькуляцию согласно </w:t>
      </w:r>
      <w:hyperlink w:anchor="Par271" w:history="1">
        <w:r>
          <w:rPr>
            <w:rFonts w:ascii="Calibri" w:hAnsi="Calibri" w:cs="Calibri"/>
            <w:color w:val="0000FF"/>
          </w:rPr>
          <w:t>Приложению N 2</w:t>
        </w:r>
      </w:hyperlink>
      <w:r>
        <w:rPr>
          <w:rFonts w:ascii="Calibri" w:hAnsi="Calibri" w:cs="Calibri"/>
        </w:rPr>
        <w:t>.</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Расходы, включенные в плату, подлежат отдельному учету со стороны сетевой организации и не учитываются в необходимой валовой выручке сетевой организации по иным регулируемым видам деятельности, за исключением услуг по передаче электрической энергии, в случаях, предусмотренных </w:t>
      </w:r>
      <w:hyperlink r:id="rId23" w:history="1">
        <w:r>
          <w:rPr>
            <w:rFonts w:ascii="Calibri" w:hAnsi="Calibri" w:cs="Calibri"/>
            <w:color w:val="0000FF"/>
          </w:rPr>
          <w:t>Основами</w:t>
        </w:r>
      </w:hyperlink>
      <w:r>
        <w:rPr>
          <w:rFonts w:ascii="Calibri" w:hAnsi="Calibri" w:cs="Calibri"/>
        </w:rPr>
        <w:t xml:space="preserve"> ценообразования.</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2" w:name="Par77"/>
      <w:bookmarkEnd w:id="12"/>
      <w:r>
        <w:rPr>
          <w:rFonts w:ascii="Calibri" w:hAnsi="Calibri" w:cs="Calibri"/>
        </w:rPr>
        <w:t>18. 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составляет не более 550 рублей, при присоединении объектов,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4" w:history="1">
        <w:r>
          <w:rPr>
            <w:rFonts w:ascii="Calibri" w:hAnsi="Calibri" w:cs="Calibri"/>
            <w:color w:val="0000FF"/>
          </w:rPr>
          <w:t>пунктом 8</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w:t>
      </w:r>
      <w:r>
        <w:rPr>
          <w:rFonts w:ascii="Calibri" w:hAnsi="Calibri" w:cs="Calibri"/>
        </w:rPr>
        <w:lastRenderedPageBreak/>
        <w:t xml:space="preserve">Федерации от 27.12.2004 N 861, под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уровень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реализуемой в сроки, предусмотренные </w:t>
      </w:r>
      <w:hyperlink r:id="rId25" w:history="1">
        <w:r>
          <w:rPr>
            <w:rFonts w:ascii="Calibri" w:hAnsi="Calibri" w:cs="Calibri"/>
            <w:color w:val="0000FF"/>
          </w:rPr>
          <w:t>подпунктом "б" пункта 16</w:t>
        </w:r>
      </w:hyperlink>
      <w:r>
        <w:rPr>
          <w:rFonts w:ascii="Calibri" w:hAnsi="Calibri" w:cs="Calibri"/>
        </w:rPr>
        <w:t xml:space="preserve"> Правил технологического присоединения, начиная с даты подачи заявки в сетевую организацию.</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в соответствии с </w:t>
      </w:r>
      <w:hyperlink w:anchor="Par103" w:history="1">
        <w:r>
          <w:rPr>
            <w:rFonts w:ascii="Calibri" w:hAnsi="Calibri" w:cs="Calibri"/>
            <w:color w:val="0000FF"/>
          </w:rPr>
          <w:t>Главой III</w:t>
        </w:r>
      </w:hyperlink>
      <w:r>
        <w:rPr>
          <w:rFonts w:ascii="Calibri" w:hAnsi="Calibri" w:cs="Calibri"/>
        </w:rP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пропорционально объему максимальной мощности, заявленной потребителем.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Заявителем на технологическое присоединение выступает: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содержащееся за счет прихожан религиозная организация, объединение граждан, объединивших свои хозяйственные постройки (погреба, сараи и иные сооружения аналогичного назначения), то плата для указанных Заявителей не должна превышать 550 рублей, умноженных на количество членов (абонентов) этих объединений (организаций), при условии присоединения каждым членом этого объединения (организации) не более 15 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экономически обоснованными расходами, определенными сетевой организацией для данного присоединения, и вышеуказанной платой, установленной для включенных в перечень некоммерческих организаций, учитывается в тарифах на услуги по передаче электрической энергии.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Заявитель, подающий заявку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15 кВт включительно (с учетом ранее присоединенной в данной точке присоединения мощности), оплачивает работы в соответствии с </w:t>
      </w:r>
      <w:hyperlink w:anchor="Par77" w:history="1">
        <w:r>
          <w:rPr>
            <w:rFonts w:ascii="Calibri" w:hAnsi="Calibri" w:cs="Calibri"/>
            <w:color w:val="0000FF"/>
          </w:rPr>
          <w:t>пунктом 18</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100 кВт включительно (с учетом ранее присоединенной в данной точке присоединения мощности), в том числе и Заявитель подающий заявку на технологическое присоединение до 15 кВт, не удовлетворяющий требованиям, установленным </w:t>
      </w:r>
      <w:hyperlink w:anchor="Par77" w:history="1">
        <w:r>
          <w:rPr>
            <w:rFonts w:ascii="Calibri" w:hAnsi="Calibri" w:cs="Calibri"/>
            <w:color w:val="0000FF"/>
          </w:rPr>
          <w:t>п. 18</w:t>
        </w:r>
      </w:hyperlink>
      <w:r>
        <w:rPr>
          <w:rFonts w:ascii="Calibri" w:hAnsi="Calibri" w:cs="Calibri"/>
        </w:rPr>
        <w:t xml:space="preserve"> Методических указаний, оплачивает работы, указанные в </w:t>
      </w:r>
      <w:hyperlink w:anchor="Par68" w:history="1">
        <w:r>
          <w:rPr>
            <w:rFonts w:ascii="Calibri" w:hAnsi="Calibri" w:cs="Calibri"/>
            <w:color w:val="0000FF"/>
          </w:rPr>
          <w:t>пункте 16</w:t>
        </w:r>
      </w:hyperlink>
      <w:r>
        <w:rPr>
          <w:rFonts w:ascii="Calibri" w:hAnsi="Calibri" w:cs="Calibri"/>
        </w:rPr>
        <w:t xml:space="preserve"> Методических указаний в соответствии с </w:t>
      </w:r>
      <w:hyperlink w:anchor="Par103" w:history="1">
        <w:r>
          <w:rPr>
            <w:rFonts w:ascii="Calibri" w:hAnsi="Calibri" w:cs="Calibri"/>
            <w:color w:val="0000FF"/>
          </w:rPr>
          <w:t>Главой III</w:t>
        </w:r>
      </w:hyperlink>
      <w:r>
        <w:rPr>
          <w:rFonts w:ascii="Calibri" w:hAnsi="Calibri" w:cs="Calibri"/>
        </w:rPr>
        <w:t xml:space="preserve"> Методических указаний, с учетом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определяемых в соответствии с </w:t>
      </w:r>
      <w:hyperlink w:anchor="Par179" w:history="1">
        <w:r>
          <w:rPr>
            <w:rFonts w:ascii="Calibri" w:hAnsi="Calibri" w:cs="Calibri"/>
            <w:color w:val="0000FF"/>
          </w:rPr>
          <w:t>Главой V</w:t>
        </w:r>
      </w:hyperlink>
      <w:r>
        <w:rPr>
          <w:rFonts w:ascii="Calibri" w:hAnsi="Calibri" w:cs="Calibri"/>
        </w:rPr>
        <w:t xml:space="preserve">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случае если в представленных материалах присутствуют величины, измеряемые в кВА, то при осуществлении расчета за технологическое присоединение перевод одного кВА в один кВт производится следующим образом: </w:t>
      </w:r>
      <w:r>
        <w:rPr>
          <w:rFonts w:ascii="Calibri" w:hAnsi="Calibri" w:cs="Calibri"/>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7.25pt">
            <v:imagedata r:id="rId26" o:title=""/>
          </v:shape>
        </w:pict>
      </w:r>
      <w:r>
        <w:rPr>
          <w:rFonts w:ascii="Calibri" w:hAnsi="Calibri" w:cs="Calibri"/>
        </w:rPr>
        <w:t xml:space="preserve">, где </w:t>
      </w:r>
      <w:r>
        <w:rPr>
          <w:rFonts w:ascii="Calibri" w:hAnsi="Calibri" w:cs="Calibri"/>
          <w:position w:val="-10"/>
        </w:rPr>
        <w:pict>
          <v:shape id="_x0000_i1026" type="#_x0000_t75" style="width:31.5pt;height:13.5pt">
            <v:imagedata r:id="rId27" o:title=""/>
          </v:shape>
        </w:pict>
      </w:r>
      <w:r>
        <w:rPr>
          <w:rFonts w:ascii="Calibri" w:hAnsi="Calibri" w:cs="Calibri"/>
        </w:rPr>
        <w:t xml:space="preserve"> = 0,89.</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Ставки платы за технологическое присоединение к электрическим сетям утверждаются с разбивкой по категориям потребителей, уровням напряжения и (или) объему присоединяемой максимальной мощности, а также могут быть утверждены по муниципальным образованиям и по районам.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outlineLvl w:val="1"/>
        <w:rPr>
          <w:rFonts w:ascii="Calibri" w:hAnsi="Calibri" w:cs="Calibri"/>
        </w:rPr>
      </w:pPr>
      <w:bookmarkStart w:id="13" w:name="Par89"/>
      <w:bookmarkEnd w:id="13"/>
      <w:r>
        <w:rPr>
          <w:rFonts w:ascii="Calibri" w:hAnsi="Calibri" w:cs="Calibri"/>
        </w:rPr>
        <w:t>II. Расчет размера платы за технологическое присоединение</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на уровне напряжения не ниже 35 кВ</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и (или) максимальной мощности не менее 8 900 кВт</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отдельных потребителей</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и объектов по производству электрической энергии</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Плата за технологическое присоединение для Заявителей, присоединяющихся к электрическим сетям на уровне напряжения не ниже 35 кВ и (или) максимальной мощности не менее 8 900 кВт энергопринимающих устройств отдельных потребителей и объектов по производству электрической энергии, определяется регулирующим органом в соответствии с выданными техническими условиями по формуле (1) и устанавливается в тыс. рублей:</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63pt;height:18.75pt">
            <v:imagedata r:id="rId28" o:title=""/>
          </v:shape>
        </w:pict>
      </w:r>
      <w:r>
        <w:rPr>
          <w:rFonts w:ascii="Calibri" w:hAnsi="Calibri" w:cs="Calibri"/>
        </w:rPr>
        <w:t xml:space="preserve"> (тыс. руб.), (1)</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 стоимость мероприятий, перечисленных в </w:t>
      </w:r>
      <w:hyperlink w:anchor="Par68" w:history="1">
        <w:r>
          <w:rPr>
            <w:rFonts w:ascii="Calibri" w:hAnsi="Calibri" w:cs="Calibri"/>
            <w:color w:val="0000FF"/>
          </w:rPr>
          <w:t>пункте 16</w:t>
        </w:r>
      </w:hyperlink>
      <w:r>
        <w:rPr>
          <w:rFonts w:ascii="Calibri" w:hAnsi="Calibri" w:cs="Calibri"/>
        </w:rPr>
        <w:t xml:space="preserve"> (за исключением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Методических указаний (тыс. руб.);</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5pt;height:18.75pt">
            <v:imagedata r:id="rId29" o:title=""/>
          </v:shape>
        </w:pict>
      </w:r>
      <w:r>
        <w:rPr>
          <w:rFonts w:ascii="Calibri" w:hAnsi="Calibri" w:cs="Calibri"/>
        </w:rPr>
        <w:t xml:space="preserve"> - стоимость строительства и выполнения проектно-сметной документации по мероприятиям "последней мили", согласно выданным техническим условиям.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outlineLvl w:val="1"/>
        <w:rPr>
          <w:rFonts w:ascii="Calibri" w:hAnsi="Calibri" w:cs="Calibri"/>
        </w:rPr>
      </w:pPr>
      <w:bookmarkStart w:id="14" w:name="Par103"/>
      <w:bookmarkEnd w:id="14"/>
      <w:r>
        <w:rPr>
          <w:rFonts w:ascii="Calibri" w:hAnsi="Calibri" w:cs="Calibri"/>
        </w:rPr>
        <w:t>III. Расчет ставок за единицу максимальной</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мощности и размера платы за технологическое присоединение</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на уровне напряжения ниже 35 кВ</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и максимальной мощности менее 8 900 кВт</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Размер ставок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утверждается органом исполнительной власти субъекта Российской Федерации в области государственного регулирования тарифов на период регулирования раздельно для каждой сетевой организации.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Расчет ставок по каждому мероприятию в отдельности в соответствии с </w:t>
      </w:r>
      <w:hyperlink w:anchor="Par271" w:history="1">
        <w:r>
          <w:rPr>
            <w:rFonts w:ascii="Calibri" w:hAnsi="Calibri" w:cs="Calibri"/>
            <w:color w:val="0000FF"/>
          </w:rPr>
          <w:t>Приложением N 2</w:t>
        </w:r>
      </w:hyperlink>
      <w:r>
        <w:rPr>
          <w:rFonts w:ascii="Calibri" w:hAnsi="Calibri" w:cs="Calibri"/>
        </w:rPr>
        <w:t xml:space="preserve"> к Методическим указаниям за 1 кВт мощности технологического присоединения производится на основе разбивки НВВ, определенной сетевой организацией согласно </w:t>
      </w:r>
      <w:hyperlink w:anchor="Par376" w:history="1">
        <w:r>
          <w:rPr>
            <w:rFonts w:ascii="Calibri" w:hAnsi="Calibri" w:cs="Calibri"/>
            <w:color w:val="0000FF"/>
          </w:rPr>
          <w:t>Приложению N 3</w:t>
        </w:r>
      </w:hyperlink>
      <w:r>
        <w:rPr>
          <w:rFonts w:ascii="Calibri" w:hAnsi="Calibri" w:cs="Calibri"/>
        </w:rPr>
        <w:t xml:space="preserve"> к Методическим указаниям, и объема присоединяемой максимальной мощности по каждому мероприятию, представленных сетевой организацией в уполномоченный орган исполнительной власти в области государственного регулирования тарифов на период регулирования.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Ставка платы за осуществление каждого мероприятия технологического присоединения (</w:t>
      </w:r>
      <w:r>
        <w:rPr>
          <w:rFonts w:ascii="Calibri" w:hAnsi="Calibri" w:cs="Calibri"/>
          <w:position w:val="-14"/>
        </w:rPr>
        <w:pict>
          <v:shape id="_x0000_i1029" type="#_x0000_t75" style="width:18.75pt;height:19.5pt">
            <v:imagedata r:id="rId30" o:title=""/>
          </v:shape>
        </w:pict>
      </w:r>
      <w:r>
        <w:rPr>
          <w:rFonts w:ascii="Calibri" w:hAnsi="Calibri" w:cs="Calibri"/>
        </w:rPr>
        <w:t xml:space="preserve"> на напряжении i и (или) в диапазоне максимальной мощности j, включая Заявителей, подающих заявку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мощностью до 100 кВт включительно (с учетом ранее присоединенной в данной точке присоединения максимальной мощности), устанавливается уполномоченным органом исполнительной власти в области государственного регулирования тарифов на основании данных, представленных сетевой организацией в соответствии с </w:t>
      </w:r>
      <w:hyperlink w:anchor="Par271" w:history="1">
        <w:r>
          <w:rPr>
            <w:rFonts w:ascii="Calibri" w:hAnsi="Calibri" w:cs="Calibri"/>
            <w:color w:val="0000FF"/>
          </w:rPr>
          <w:t>Приложением N 2</w:t>
        </w:r>
      </w:hyperlink>
      <w:r>
        <w:rPr>
          <w:rFonts w:ascii="Calibri" w:hAnsi="Calibri" w:cs="Calibri"/>
        </w:rPr>
        <w:t xml:space="preserve"> к Методическим указаниям по формуле: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2"/>
        </w:rPr>
        <w:lastRenderedPageBreak/>
        <w:pict>
          <v:shape id="_x0000_i1030" type="#_x0000_t75" style="width:45.75pt;height:36.75pt">
            <v:imagedata r:id="rId31" o:title=""/>
          </v:shape>
        </w:pict>
      </w:r>
      <w:r>
        <w:rPr>
          <w:rFonts w:ascii="Calibri" w:hAnsi="Calibri" w:cs="Calibri"/>
        </w:rPr>
        <w:t xml:space="preserve"> (руб./кВт) (2)</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1" type="#_x0000_t75" style="width:13.5pt;height:19.5pt">
            <v:imagedata r:id="rId32" o:title=""/>
          </v:shape>
        </w:pict>
      </w:r>
      <w:r>
        <w:rPr>
          <w:rFonts w:ascii="Calibri" w:hAnsi="Calibri" w:cs="Calibri"/>
        </w:rPr>
        <w:t xml:space="preserve"> - расходы на технологические присоединения планируемого на период регулирования объема мощности на уровне напряжения i и (или) в диапазоне мощности j по каждому мероприятию, указанному в </w:t>
      </w:r>
      <w:hyperlink w:anchor="Par271" w:history="1">
        <w:r>
          <w:rPr>
            <w:rFonts w:ascii="Calibri" w:hAnsi="Calibri" w:cs="Calibri"/>
            <w:color w:val="0000FF"/>
          </w:rPr>
          <w:t>Приложении N 2</w:t>
        </w:r>
      </w:hyperlink>
      <w:r>
        <w:rPr>
          <w:rFonts w:ascii="Calibri" w:hAnsi="Calibri" w:cs="Calibri"/>
        </w:rPr>
        <w:t xml:space="preserve"> 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2" type="#_x0000_t75" style="width:17.25pt;height:19.5pt">
            <v:imagedata r:id="rId33" o:title=""/>
          </v:shape>
        </w:pict>
      </w:r>
      <w:r>
        <w:rPr>
          <w:rFonts w:ascii="Calibri" w:hAnsi="Calibri" w:cs="Calibri"/>
        </w:rPr>
        <w:t xml:space="preserve"> - плановая мощность технологических присоединений на уровне напряжения i и (или) в диапазоне максимальной мощности) (кВт) по каждому мероприятию на период регулирования.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Ставка за единицу максимальной мощности j (руб./кВт) на осуществление организационных мероприятий, указанных в </w:t>
      </w:r>
      <w:hyperlink w:anchor="Par287" w:history="1">
        <w:r>
          <w:rPr>
            <w:rFonts w:ascii="Calibri" w:hAnsi="Calibri" w:cs="Calibri"/>
            <w:color w:val="0000FF"/>
          </w:rPr>
          <w:t>пунктах 1</w:t>
        </w:r>
      </w:hyperlink>
      <w:r>
        <w:rPr>
          <w:rFonts w:ascii="Calibri" w:hAnsi="Calibri" w:cs="Calibri"/>
        </w:rPr>
        <w:t xml:space="preserve">, </w:t>
      </w:r>
      <w:hyperlink w:anchor="Par328" w:history="1">
        <w:r>
          <w:rPr>
            <w:rFonts w:ascii="Calibri" w:hAnsi="Calibri" w:cs="Calibri"/>
            <w:color w:val="0000FF"/>
          </w:rPr>
          <w:t>4</w:t>
        </w:r>
      </w:hyperlink>
      <w:r>
        <w:rPr>
          <w:rFonts w:ascii="Calibri" w:hAnsi="Calibri" w:cs="Calibri"/>
        </w:rPr>
        <w:t xml:space="preserve">, </w:t>
      </w:r>
      <w:hyperlink w:anchor="Par332" w:history="1">
        <w:r>
          <w:rPr>
            <w:rFonts w:ascii="Calibri" w:hAnsi="Calibri" w:cs="Calibri"/>
            <w:color w:val="0000FF"/>
          </w:rPr>
          <w:t>5</w:t>
        </w:r>
      </w:hyperlink>
      <w:r>
        <w:rPr>
          <w:rFonts w:ascii="Calibri" w:hAnsi="Calibri" w:cs="Calibri"/>
        </w:rPr>
        <w:t xml:space="preserve">, </w:t>
      </w:r>
      <w:hyperlink w:anchor="Par338" w:history="1">
        <w:r>
          <w:rPr>
            <w:rFonts w:ascii="Calibri" w:hAnsi="Calibri" w:cs="Calibri"/>
            <w:color w:val="0000FF"/>
          </w:rPr>
          <w:t>6 Приложения N 2</w:t>
        </w:r>
      </w:hyperlink>
      <w:r>
        <w:rPr>
          <w:rFonts w:ascii="Calibri" w:hAnsi="Calibri" w:cs="Calibri"/>
        </w:rPr>
        <w:t xml:space="preserve"> к Методическим указаниям, определяется на период регулирования на уровне значения стандартизированной тарифной ставки С1, указанной в </w:t>
      </w:r>
      <w:hyperlink w:anchor="Par142" w:history="1">
        <w:r>
          <w:rPr>
            <w:rFonts w:ascii="Calibri" w:hAnsi="Calibri" w:cs="Calibri"/>
            <w:color w:val="0000FF"/>
          </w:rPr>
          <w:t>п. 30</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Ставки по мероприятиям "последней мили", указанным в Приложении N 2 (</w:t>
      </w:r>
      <w:hyperlink w:anchor="Par304" w:history="1">
        <w:r>
          <w:rPr>
            <w:rFonts w:ascii="Calibri" w:hAnsi="Calibri" w:cs="Calibri"/>
            <w:color w:val="0000FF"/>
          </w:rPr>
          <w:t>пункты 3.1</w:t>
        </w:r>
      </w:hyperlink>
      <w:r>
        <w:rPr>
          <w:rFonts w:ascii="Calibri" w:hAnsi="Calibri" w:cs="Calibri"/>
        </w:rPr>
        <w:t xml:space="preserve"> - </w:t>
      </w:r>
      <w:hyperlink w:anchor="Par307" w:history="1">
        <w:r>
          <w:rPr>
            <w:rFonts w:ascii="Calibri" w:hAnsi="Calibri" w:cs="Calibri"/>
            <w:color w:val="0000FF"/>
          </w:rPr>
          <w:t>3.2</w:t>
        </w:r>
      </w:hyperlink>
      <w:r>
        <w:rPr>
          <w:rFonts w:ascii="Calibri" w:hAnsi="Calibri" w:cs="Calibri"/>
        </w:rPr>
        <w:t>) к Методическим указаниям на строительство воздушных или кабельных линий определяются на период регулирования по формуле: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2"/>
        </w:rPr>
        <w:pict>
          <v:shape id="_x0000_i1033" type="#_x0000_t75" style="width:60pt;height:36.75pt">
            <v:imagedata r:id="rId34" o:title=""/>
          </v:shape>
        </w:pict>
      </w:r>
      <w:r>
        <w:rPr>
          <w:rFonts w:ascii="Calibri" w:hAnsi="Calibri" w:cs="Calibri"/>
        </w:rPr>
        <w:t xml:space="preserve"> (руб./кВт) (3), где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4" type="#_x0000_t75" style="width:25.5pt;height:19.5pt">
            <v:imagedata r:id="rId35" o:title=""/>
          </v:shape>
        </w:pict>
      </w:r>
      <w:r>
        <w:rPr>
          <w:rFonts w:ascii="Calibri" w:hAnsi="Calibri" w:cs="Calibri"/>
        </w:rPr>
        <w:t xml:space="preserve"> - стандартизированные тарифные ставки на покрытие расходов сетевой организации на строительство воздушных и кабельных линий электропередачи на i-м уровне напряжения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в расчете на 1 км линий (руб./км), утвержденные регулирующим органом на период регулирования, указанные в </w:t>
      </w:r>
      <w:hyperlink w:anchor="Par142" w:history="1">
        <w:r>
          <w:rPr>
            <w:rFonts w:ascii="Calibri" w:hAnsi="Calibri" w:cs="Calibri"/>
            <w:color w:val="0000FF"/>
          </w:rPr>
          <w:t>п. 30</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5" type="#_x0000_t75" style="width:25.5pt;height:19.5pt">
            <v:imagedata r:id="rId36" o:title=""/>
          </v:shape>
        </w:pict>
      </w:r>
      <w:r>
        <w:rPr>
          <w:rFonts w:ascii="Calibri" w:hAnsi="Calibri" w:cs="Calibri"/>
        </w:rPr>
        <w:t xml:space="preserve"> - плановая длина воздушных и кабельных линий электропередачи на i-м уровне напряжения, рассчитанная как среднеарифметическое значение длины фактически построенных за последние 3 года воздушных и кабельных линий (км);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6" type="#_x0000_t75" style="width:27pt;height:19.5pt">
            <v:imagedata r:id="rId37" o:title=""/>
          </v:shape>
        </w:pict>
      </w:r>
      <w:r>
        <w:rPr>
          <w:rFonts w:ascii="Calibri" w:hAnsi="Calibri" w:cs="Calibri"/>
        </w:rPr>
        <w:t xml:space="preserve"> - плановый объем максимальной мощности, присоединяемой путем строительства воздушных или кабельных линий, рассчитанный как среднеарифметическое из объемов фактически присоединенной мощности за последние 3 года соответственно воздушными и кабельными линиями (кВт).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Ставки за единицу максимальной мощности (руб./кВт), на осуществление мероприятий (</w:t>
      </w:r>
      <w:hyperlink w:anchor="Par313" w:history="1">
        <w:r>
          <w:rPr>
            <w:rFonts w:ascii="Calibri" w:hAnsi="Calibri" w:cs="Calibri"/>
            <w:color w:val="0000FF"/>
          </w:rPr>
          <w:t>п. 3.4</w:t>
        </w:r>
      </w:hyperlink>
      <w:r>
        <w:rPr>
          <w:rFonts w:ascii="Calibri" w:hAnsi="Calibri" w:cs="Calibri"/>
        </w:rPr>
        <w:t xml:space="preserve">, </w:t>
      </w:r>
      <w:hyperlink w:anchor="Par323" w:history="1">
        <w:r>
          <w:rPr>
            <w:rFonts w:ascii="Calibri" w:hAnsi="Calibri" w:cs="Calibri"/>
            <w:color w:val="0000FF"/>
          </w:rPr>
          <w:t>3.5 Приложения N 2</w:t>
        </w:r>
      </w:hyperlink>
      <w:r>
        <w:rPr>
          <w:rFonts w:ascii="Calibri" w:hAnsi="Calibri" w:cs="Calibri"/>
        </w:rPr>
        <w:t xml:space="preserve"> к Методическим указаниям), связанные со строительством пунктов секционирования, комплектных трансформаторных подстанций (КТП), распределительных трансформаторных подстанций (РТП) с уровнем напряжения до 35 кВ, центров питания, подстанций уровнем напряжения 35 кВ и выше (ПС), принимаются на период регулирования равными значению стандартизированной тарифной ставки С4, указанной в </w:t>
      </w:r>
      <w:hyperlink w:anchor="Par142" w:history="1">
        <w:r>
          <w:rPr>
            <w:rFonts w:ascii="Calibri" w:hAnsi="Calibri" w:cs="Calibri"/>
            <w:color w:val="0000FF"/>
          </w:rPr>
          <w:t>п. 30</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5" w:name="Par126"/>
      <w:bookmarkEnd w:id="15"/>
      <w:r>
        <w:rPr>
          <w:rFonts w:ascii="Calibri" w:hAnsi="Calibri" w:cs="Calibri"/>
        </w:rPr>
        <w:t>26. Размер платы за технологическое присоединение (</w:t>
      </w:r>
      <w:r>
        <w:rPr>
          <w:rFonts w:ascii="Calibri" w:hAnsi="Calibri" w:cs="Calibri"/>
          <w:position w:val="-14"/>
        </w:rPr>
        <w:pict>
          <v:shape id="_x0000_i1037" type="#_x0000_t75" style="width:13.5pt;height:19.5pt">
            <v:imagedata r:id="rId38" o:title=""/>
          </v:shape>
        </w:pict>
      </w:r>
      <w:r>
        <w:rPr>
          <w:rFonts w:ascii="Calibri" w:hAnsi="Calibri" w:cs="Calibri"/>
        </w:rPr>
        <w:t xml:space="preserve">) для конкретного Заявителя определяется сетевой организацией на основании утвержденных регулирующим органом отдельных ставок по каждому мероприятию </w:t>
      </w:r>
      <w:hyperlink w:anchor="Par271" w:history="1">
        <w:r>
          <w:rPr>
            <w:rFonts w:ascii="Calibri" w:hAnsi="Calibri" w:cs="Calibri"/>
            <w:color w:val="0000FF"/>
          </w:rPr>
          <w:t>Приложения N 2</w:t>
        </w:r>
      </w:hyperlink>
      <w:r>
        <w:rPr>
          <w:rFonts w:ascii="Calibri" w:hAnsi="Calibri" w:cs="Calibri"/>
        </w:rPr>
        <w:t xml:space="preserve"> к Методическим указаниям, исходя из суммы затрат, рассчитанных по ставкам за технологическое присоединение </w:t>
      </w:r>
      <w:r>
        <w:rPr>
          <w:rFonts w:ascii="Calibri" w:hAnsi="Calibri" w:cs="Calibri"/>
          <w:position w:val="-14"/>
        </w:rPr>
        <w:pict>
          <v:shape id="_x0000_i1038" type="#_x0000_t75" style="width:15pt;height:19.5pt">
            <v:imagedata r:id="rId39" o:title=""/>
          </v:shape>
        </w:pict>
      </w:r>
      <w:r>
        <w:rPr>
          <w:rFonts w:ascii="Calibri" w:hAnsi="Calibri" w:cs="Calibri"/>
        </w:rPr>
        <w:t xml:space="preserve"> (мероприятия </w:t>
      </w:r>
      <w:hyperlink w:anchor="Par287" w:history="1">
        <w:r>
          <w:rPr>
            <w:rFonts w:ascii="Calibri" w:hAnsi="Calibri" w:cs="Calibri"/>
            <w:color w:val="0000FF"/>
          </w:rPr>
          <w:t>1</w:t>
        </w:r>
      </w:hyperlink>
      <w:r>
        <w:rPr>
          <w:rFonts w:ascii="Calibri" w:hAnsi="Calibri" w:cs="Calibri"/>
        </w:rPr>
        <w:t xml:space="preserve">, </w:t>
      </w:r>
      <w:hyperlink w:anchor="Par328" w:history="1">
        <w:r>
          <w:rPr>
            <w:rFonts w:ascii="Calibri" w:hAnsi="Calibri" w:cs="Calibri"/>
            <w:color w:val="0000FF"/>
          </w:rPr>
          <w:t>4</w:t>
        </w:r>
      </w:hyperlink>
      <w:r>
        <w:rPr>
          <w:rFonts w:ascii="Calibri" w:hAnsi="Calibri" w:cs="Calibri"/>
        </w:rPr>
        <w:t xml:space="preserve">, </w:t>
      </w:r>
      <w:hyperlink w:anchor="Par332" w:history="1">
        <w:r>
          <w:rPr>
            <w:rFonts w:ascii="Calibri" w:hAnsi="Calibri" w:cs="Calibri"/>
            <w:color w:val="0000FF"/>
          </w:rPr>
          <w:t>5</w:t>
        </w:r>
      </w:hyperlink>
      <w:r>
        <w:rPr>
          <w:rFonts w:ascii="Calibri" w:hAnsi="Calibri" w:cs="Calibri"/>
        </w:rPr>
        <w:t xml:space="preserve">, </w:t>
      </w:r>
      <w:hyperlink w:anchor="Par338" w:history="1">
        <w:r>
          <w:rPr>
            <w:rFonts w:ascii="Calibri" w:hAnsi="Calibri" w:cs="Calibri"/>
            <w:color w:val="0000FF"/>
          </w:rPr>
          <w:t>6</w:t>
        </w:r>
      </w:hyperlink>
      <w:r>
        <w:rPr>
          <w:rFonts w:ascii="Calibri" w:hAnsi="Calibri" w:cs="Calibri"/>
        </w:rPr>
        <w:t xml:space="preserve"> указанного Приложения) и ставки (ставок) по мероприятиям "последней мили", реализуемым сетевой организацией для подключения конкретного Заявителя, умноженной на объем максимальной мощности, указанный Заявителем в заявке на технологическое присоединение (</w:t>
      </w:r>
      <w:r>
        <w:rPr>
          <w:rFonts w:ascii="Calibri" w:hAnsi="Calibri" w:cs="Calibri"/>
          <w:position w:val="-14"/>
        </w:rPr>
        <w:pict>
          <v:shape id="_x0000_i1039" type="#_x0000_t75" style="width:17.25pt;height:19.5pt">
            <v:imagedata r:id="rId40" o:title=""/>
          </v:shape>
        </w:pict>
      </w:r>
      <w:r>
        <w:rPr>
          <w:rFonts w:ascii="Calibri" w:hAnsi="Calibri" w:cs="Calibri"/>
        </w:rPr>
        <w:t>) на уровне напряжения i и (или) диапазоне мощности j (руб./кВт).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конкретного Заявителя при определении размера платы на основании утвержденных регулирующим органом ставок платы применяются те ставки (</w:t>
      </w:r>
      <w:hyperlink w:anchor="Par304" w:history="1">
        <w:r>
          <w:rPr>
            <w:rFonts w:ascii="Calibri" w:hAnsi="Calibri" w:cs="Calibri"/>
            <w:color w:val="0000FF"/>
          </w:rPr>
          <w:t>пункты 3.1</w:t>
        </w:r>
      </w:hyperlink>
      <w:r>
        <w:rPr>
          <w:rFonts w:ascii="Calibri" w:hAnsi="Calibri" w:cs="Calibri"/>
        </w:rPr>
        <w:t xml:space="preserve"> - </w:t>
      </w:r>
      <w:hyperlink w:anchor="Par313" w:history="1">
        <w:r>
          <w:rPr>
            <w:rFonts w:ascii="Calibri" w:hAnsi="Calibri" w:cs="Calibri"/>
            <w:color w:val="0000FF"/>
          </w:rPr>
          <w:t xml:space="preserve">3.4 </w:t>
        </w:r>
        <w:r>
          <w:rPr>
            <w:rFonts w:ascii="Calibri" w:hAnsi="Calibri" w:cs="Calibri"/>
            <w:color w:val="0000FF"/>
          </w:rPr>
          <w:lastRenderedPageBreak/>
          <w:t>Приложения N 2</w:t>
        </w:r>
      </w:hyperlink>
      <w:r>
        <w:rPr>
          <w:rFonts w:ascii="Calibri" w:hAnsi="Calibri" w:cs="Calibri"/>
        </w:rPr>
        <w:t>), которые согласно поданной заявке соответствуют способу технологического присоединения.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случае если Заявитель при технологическом присоединении запрашивает третью категорию надежности электроснабжения, что предполагает технологическое присоединение к одному источнику энергоснабжения, размер платы за технологическое присоединение для него определяется согласно </w:t>
      </w:r>
      <w:hyperlink w:anchor="Par126" w:history="1">
        <w:r>
          <w:rPr>
            <w:rFonts w:ascii="Calibri" w:hAnsi="Calibri" w:cs="Calibri"/>
            <w:color w:val="0000FF"/>
          </w:rPr>
          <w:t>п. 26</w:t>
        </w:r>
      </w:hyperlink>
      <w:r>
        <w:rPr>
          <w:rFonts w:ascii="Calibri" w:hAnsi="Calibri" w:cs="Calibri"/>
        </w:rPr>
        <w:t xml:space="preserve"> Методических указаний.</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если Заявитель при технологическом присоединении запрашивает вторую или первую категорию надежности электроснабжения, что предполагает технологическое присоединение к двум независимым источникам энергоснабжения, то размер платы за технологическое присоединение (</w:t>
      </w:r>
      <w:r>
        <w:rPr>
          <w:rFonts w:ascii="Calibri" w:hAnsi="Calibri" w:cs="Calibri"/>
          <w:position w:val="-12"/>
        </w:rPr>
        <w:pict>
          <v:shape id="_x0000_i1040" type="#_x0000_t75" style="width:24pt;height:18.75pt">
            <v:imagedata r:id="rId41" o:title=""/>
          </v:shape>
        </w:pict>
      </w:r>
      <w:r>
        <w:rPr>
          <w:rFonts w:ascii="Calibri" w:hAnsi="Calibri" w:cs="Calibri"/>
        </w:rPr>
        <w:t>) определяется следующим образом: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1" type="#_x0000_t75" style="width:119.25pt;height:18.75pt">
            <v:imagedata r:id="rId42" o:title=""/>
          </v:shape>
        </w:pict>
      </w:r>
      <w:r>
        <w:rPr>
          <w:rFonts w:ascii="Calibri" w:hAnsi="Calibri" w:cs="Calibri"/>
        </w:rPr>
        <w:t>, (руб.) (4)</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 расходы на технологическое присоединение связанные с проведением мероприятий, указанных в </w:t>
      </w:r>
      <w:hyperlink w:anchor="Par68" w:history="1">
        <w:r>
          <w:rPr>
            <w:rFonts w:ascii="Calibri" w:hAnsi="Calibri" w:cs="Calibri"/>
            <w:color w:val="0000FF"/>
          </w:rPr>
          <w:t>пункте 16</w:t>
        </w:r>
      </w:hyperlink>
      <w:r>
        <w:rPr>
          <w:rFonts w:ascii="Calibri" w:hAnsi="Calibri" w:cs="Calibri"/>
        </w:rPr>
        <w:t xml:space="preserve"> Методических указаний, не включающие в себя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(руб.);</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24pt;height:18.75pt">
            <v:imagedata r:id="rId43" o:title=""/>
          </v:shape>
        </w:pict>
      </w:r>
      <w:r>
        <w:rPr>
          <w:rFonts w:ascii="Calibri" w:hAnsi="Calibri" w:cs="Calibri"/>
        </w:rP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определяемые по первому независимому источнику энергоснабжения в соответствии с </w:t>
      </w:r>
      <w:hyperlink w:anchor="Par179" w:history="1">
        <w:r>
          <w:rPr>
            <w:rFonts w:ascii="Calibri" w:hAnsi="Calibri" w:cs="Calibri"/>
            <w:color w:val="0000FF"/>
          </w:rPr>
          <w:t>Главой V</w:t>
        </w:r>
      </w:hyperlink>
      <w:r>
        <w:rPr>
          <w:rFonts w:ascii="Calibri" w:hAnsi="Calibri" w:cs="Calibri"/>
        </w:rPr>
        <w:t xml:space="preserve">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по мероприятиям,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3" type="#_x0000_t75" style="width:24.75pt;height:18.75pt">
            <v:imagedata r:id="rId44" o:title=""/>
          </v:shape>
        </w:pict>
      </w:r>
      <w:r>
        <w:rPr>
          <w:rFonts w:ascii="Calibri" w:hAnsi="Calibri" w:cs="Calibri"/>
        </w:rP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определяемые по второму независимому источнику энергоснабжения в соответствии с </w:t>
      </w:r>
      <w:hyperlink w:anchor="Par179" w:history="1">
        <w:r>
          <w:rPr>
            <w:rFonts w:ascii="Calibri" w:hAnsi="Calibri" w:cs="Calibri"/>
            <w:color w:val="0000FF"/>
          </w:rPr>
          <w:t>Главой V</w:t>
        </w:r>
      </w:hyperlink>
      <w:r>
        <w:rPr>
          <w:rFonts w:ascii="Calibri" w:hAnsi="Calibri" w:cs="Calibri"/>
        </w:rPr>
        <w:t xml:space="preserve">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по мероприятиям,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outlineLvl w:val="1"/>
        <w:rPr>
          <w:rFonts w:ascii="Calibri" w:hAnsi="Calibri" w:cs="Calibri"/>
        </w:rPr>
      </w:pPr>
      <w:bookmarkStart w:id="16" w:name="Par139"/>
      <w:bookmarkEnd w:id="16"/>
      <w:r>
        <w:rPr>
          <w:rFonts w:ascii="Calibri" w:hAnsi="Calibri" w:cs="Calibri"/>
        </w:rPr>
        <w:t>IV. Расчет платы за технологическое присоединение</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посредством применения стандартизированных тарифных ставок</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7" w:name="Par142"/>
      <w:bookmarkEnd w:id="17"/>
      <w:r>
        <w:rPr>
          <w:rFonts w:ascii="Calibri" w:hAnsi="Calibri" w:cs="Calibri"/>
        </w:rPr>
        <w:t xml:space="preserve">30.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ar68" w:history="1">
        <w:r>
          <w:rPr>
            <w:rFonts w:ascii="Calibri" w:hAnsi="Calibri" w:cs="Calibri"/>
            <w:color w:val="0000FF"/>
          </w:rPr>
          <w:t>пункте 16</w:t>
        </w:r>
      </w:hyperlink>
      <w:r>
        <w:rPr>
          <w:rFonts w:ascii="Calibri" w:hAnsi="Calibri" w:cs="Calibri"/>
        </w:rPr>
        <w:t xml:space="preserve"> Методических указаний (кроме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xml:space="preserve">), и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потребителей, определяемых по каждому мероприятию, утвержденному </w:t>
      </w:r>
      <w:hyperlink w:anchor="Par197" w:history="1">
        <w:r>
          <w:rPr>
            <w:rFonts w:ascii="Calibri" w:hAnsi="Calibri" w:cs="Calibri"/>
            <w:color w:val="0000FF"/>
          </w:rPr>
          <w:t>Приложением N 1</w:t>
        </w:r>
      </w:hyperlink>
      <w:r>
        <w:rPr>
          <w:rFonts w:ascii="Calibri" w:hAnsi="Calibri" w:cs="Calibri"/>
        </w:rPr>
        <w:t xml:space="preserve"> к Методическим указаниям, при осуществлении технологического присоединения планируемого годового объема мощности утверждается следующий перечень стандартизированных тарифных ставок:</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4" type="#_x0000_t75" style="width:13.5pt;height:18.75pt">
            <v:imagedata r:id="rId45" o:title=""/>
          </v:shape>
        </w:pict>
      </w:r>
      <w:r>
        <w:rPr>
          <w:rFonts w:ascii="Calibri" w:hAnsi="Calibri" w:cs="Calibri"/>
        </w:rPr>
        <w:t xml:space="preserve"> -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ar68" w:history="1">
        <w:r>
          <w:rPr>
            <w:rFonts w:ascii="Calibri" w:hAnsi="Calibri" w:cs="Calibri"/>
            <w:color w:val="0000FF"/>
          </w:rPr>
          <w:t>пункте 16</w:t>
        </w:r>
      </w:hyperlink>
      <w:r>
        <w:rPr>
          <w:rFonts w:ascii="Calibri" w:hAnsi="Calibri" w:cs="Calibri"/>
        </w:rPr>
        <w:t xml:space="preserve"> Методических указаний (кроме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xml:space="preserve">), в </w:t>
      </w:r>
      <w:r>
        <w:rPr>
          <w:rFonts w:ascii="Calibri" w:hAnsi="Calibri" w:cs="Calibri"/>
        </w:rPr>
        <w:lastRenderedPageBreak/>
        <w:t>расчете на 1 кВт максимальной мощности (руб./кВт);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5" type="#_x0000_t75" style="width:19.5pt;height:19.5pt">
            <v:imagedata r:id="rId46" o:title=""/>
          </v:shape>
        </w:pict>
      </w:r>
      <w:r>
        <w:rPr>
          <w:rFonts w:ascii="Calibri" w:hAnsi="Calibri" w:cs="Calibri"/>
        </w:rP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в расчете на 1 км линий (руб./км);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6" type="#_x0000_t75" style="width:19.5pt;height:19.5pt">
            <v:imagedata r:id="rId47" o:title=""/>
          </v:shape>
        </w:pict>
      </w:r>
      <w:r>
        <w:rPr>
          <w:rFonts w:ascii="Calibri" w:hAnsi="Calibri" w:cs="Calibri"/>
        </w:rP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в расчете на 1 км линий (руб./км);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7" type="#_x0000_t75" style="width:19.5pt;height:19.5pt">
            <v:imagedata r:id="rId48" o:title=""/>
          </v:shape>
        </w:pict>
      </w:r>
      <w:r>
        <w:rPr>
          <w:rFonts w:ascii="Calibri" w:hAnsi="Calibri" w:cs="Calibri"/>
        </w:rPr>
        <w:t xml:space="preserve"> - стандартизированная тарифная ставка на покрытие расходов сетевой организации на строительство подстанций согласно </w:t>
      </w:r>
      <w:hyperlink w:anchor="Par197" w:history="1">
        <w:r>
          <w:rPr>
            <w:rFonts w:ascii="Calibri" w:hAnsi="Calibri" w:cs="Calibri"/>
            <w:color w:val="0000FF"/>
          </w:rPr>
          <w:t>Приложению N 1</w:t>
        </w:r>
      </w:hyperlink>
      <w:r>
        <w:rPr>
          <w:rFonts w:ascii="Calibri" w:hAnsi="Calibri" w:cs="Calibri"/>
        </w:rPr>
        <w:t xml:space="preserve"> к Методическим указаниям на i-м уровне напряжения (руб./кВт).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технологических присоединений к ЕНЭС применяются стандартизированные тарифные ставки, утвержденные Федеральной службой по тарифам, определенные исходя из сметно-нормативной базы ценообразования 2001 года.</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Расчет стандартизированных тарифных ставок:</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Стандартизированная тарифная ставка </w:t>
      </w:r>
      <w:r>
        <w:rPr>
          <w:rFonts w:ascii="Calibri" w:hAnsi="Calibri" w:cs="Calibri"/>
          <w:position w:val="-12"/>
        </w:rPr>
        <w:pict>
          <v:shape id="_x0000_i1048" type="#_x0000_t75" style="width:13.5pt;height:18.75pt">
            <v:imagedata r:id="rId45" o:title=""/>
          </v:shape>
        </w:pict>
      </w:r>
      <w:r>
        <w:rPr>
          <w:rFonts w:ascii="Calibri" w:hAnsi="Calibri" w:cs="Calibri"/>
        </w:rPr>
        <w:t xml:space="preserve"> рассчитывается по следующей формуле: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4"/>
        </w:rPr>
        <w:pict>
          <v:shape id="_x0000_i1049" type="#_x0000_t75" style="width:39.75pt;height:31.5pt">
            <v:imagedata r:id="rId49" o:title=""/>
          </v:shape>
        </w:pict>
      </w:r>
      <w:r>
        <w:rPr>
          <w:rFonts w:ascii="Calibri" w:hAnsi="Calibri" w:cs="Calibri"/>
        </w:rPr>
        <w:t xml:space="preserve"> (руб./кВт) (5)</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0" type="#_x0000_t75" style="width:11.25pt;height:18.75pt">
            <v:imagedata r:id="rId50" o:title=""/>
          </v:shape>
        </w:pict>
      </w:r>
      <w:r>
        <w:rPr>
          <w:rFonts w:ascii="Calibri" w:hAnsi="Calibri" w:cs="Calibri"/>
        </w:rPr>
        <w:t xml:space="preserve"> - суммарный расход на технологическое присоединение планируемого годового объема мощности, рассчитанный по мероприятиям, указанным в </w:t>
      </w:r>
      <w:hyperlink w:anchor="Par68" w:history="1">
        <w:r>
          <w:rPr>
            <w:rFonts w:ascii="Calibri" w:hAnsi="Calibri" w:cs="Calibri"/>
            <w:color w:val="0000FF"/>
          </w:rPr>
          <w:t>пункте 16</w:t>
        </w:r>
      </w:hyperlink>
      <w:r>
        <w:rPr>
          <w:rFonts w:ascii="Calibri" w:hAnsi="Calibri" w:cs="Calibri"/>
        </w:rPr>
        <w:t xml:space="preserve"> (кроме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xml:space="preserve">) Методических указаний, по ставкам </w:t>
      </w:r>
      <w:hyperlink w:anchor="Par287" w:history="1">
        <w:r>
          <w:rPr>
            <w:rFonts w:ascii="Calibri" w:hAnsi="Calibri" w:cs="Calibri"/>
            <w:color w:val="0000FF"/>
          </w:rPr>
          <w:t>пунктов 1</w:t>
        </w:r>
      </w:hyperlink>
      <w:r>
        <w:rPr>
          <w:rFonts w:ascii="Calibri" w:hAnsi="Calibri" w:cs="Calibri"/>
        </w:rPr>
        <w:t xml:space="preserve">, </w:t>
      </w:r>
      <w:hyperlink w:anchor="Par328" w:history="1">
        <w:r>
          <w:rPr>
            <w:rFonts w:ascii="Calibri" w:hAnsi="Calibri" w:cs="Calibri"/>
            <w:color w:val="0000FF"/>
          </w:rPr>
          <w:t>4</w:t>
        </w:r>
      </w:hyperlink>
      <w:r>
        <w:rPr>
          <w:rFonts w:ascii="Calibri" w:hAnsi="Calibri" w:cs="Calibri"/>
        </w:rPr>
        <w:t xml:space="preserve">, </w:t>
      </w:r>
      <w:hyperlink w:anchor="Par332" w:history="1">
        <w:r>
          <w:rPr>
            <w:rFonts w:ascii="Calibri" w:hAnsi="Calibri" w:cs="Calibri"/>
            <w:color w:val="0000FF"/>
          </w:rPr>
          <w:t>5</w:t>
        </w:r>
      </w:hyperlink>
      <w:r>
        <w:rPr>
          <w:rFonts w:ascii="Calibri" w:hAnsi="Calibri" w:cs="Calibri"/>
        </w:rPr>
        <w:t xml:space="preserve">, </w:t>
      </w:r>
      <w:hyperlink w:anchor="Par338" w:history="1">
        <w:r>
          <w:rPr>
            <w:rFonts w:ascii="Calibri" w:hAnsi="Calibri" w:cs="Calibri"/>
            <w:color w:val="0000FF"/>
          </w:rPr>
          <w:t>6 Приложения N 2</w:t>
        </w:r>
      </w:hyperlink>
      <w:r>
        <w:rPr>
          <w:rFonts w:ascii="Calibri" w:hAnsi="Calibri" w:cs="Calibri"/>
        </w:rPr>
        <w:t xml:space="preserve"> в ценах периода регулирования (руб./кВт);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объем планируемой годовой максимальной мощности (кВт);</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Стандартизированные тарифные ставки </w:t>
      </w:r>
      <w:r>
        <w:rPr>
          <w:rFonts w:ascii="Calibri" w:hAnsi="Calibri" w:cs="Calibri"/>
          <w:position w:val="-14"/>
        </w:rPr>
        <w:pict>
          <v:shape id="_x0000_i1051" type="#_x0000_t75" style="width:19.5pt;height:19.5pt">
            <v:imagedata r:id="rId46" o:title=""/>
          </v:shape>
        </w:pict>
      </w:r>
      <w:r>
        <w:rPr>
          <w:rFonts w:ascii="Calibri" w:hAnsi="Calibri" w:cs="Calibri"/>
        </w:rPr>
        <w:t xml:space="preserve">, </w:t>
      </w:r>
      <w:r>
        <w:rPr>
          <w:rFonts w:ascii="Calibri" w:hAnsi="Calibri" w:cs="Calibri"/>
          <w:position w:val="-14"/>
        </w:rPr>
        <w:pict>
          <v:shape id="_x0000_i1052" type="#_x0000_t75" style="width:19.5pt;height:19.5pt">
            <v:imagedata r:id="rId47" o:title=""/>
          </v:shape>
        </w:pict>
      </w:r>
      <w:r>
        <w:rPr>
          <w:rFonts w:ascii="Calibri" w:hAnsi="Calibri" w:cs="Calibri"/>
        </w:rPr>
        <w:t xml:space="preserve">, </w:t>
      </w:r>
      <w:r>
        <w:rPr>
          <w:rFonts w:ascii="Calibri" w:hAnsi="Calibri" w:cs="Calibri"/>
          <w:position w:val="-14"/>
        </w:rPr>
        <w:pict>
          <v:shape id="_x0000_i1053" type="#_x0000_t75" style="width:19.5pt;height:19.5pt">
            <v:imagedata r:id="rId48" o:title=""/>
          </v:shape>
        </w:pict>
      </w:r>
      <w:r>
        <w:rPr>
          <w:rFonts w:ascii="Calibri" w:hAnsi="Calibri" w:cs="Calibri"/>
        </w:rPr>
        <w:t xml:space="preserve"> рассчитываются по следующим формулам: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0"/>
        </w:rPr>
        <w:pict>
          <v:shape id="_x0000_i1054" type="#_x0000_t75" style="width:52.5pt;height:35.25pt">
            <v:imagedata r:id="rId51" o:title=""/>
          </v:shape>
        </w:pict>
      </w:r>
      <w:r>
        <w:rPr>
          <w:rFonts w:ascii="Calibri" w:hAnsi="Calibri" w:cs="Calibri"/>
        </w:rPr>
        <w:t xml:space="preserve"> (руб./км) (6)</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0"/>
        </w:rPr>
        <w:pict>
          <v:shape id="_x0000_i1055" type="#_x0000_t75" style="width:52.5pt;height:35.25pt">
            <v:imagedata r:id="rId52" o:title=""/>
          </v:shape>
        </w:pict>
      </w:r>
      <w:r>
        <w:rPr>
          <w:rFonts w:ascii="Calibri" w:hAnsi="Calibri" w:cs="Calibri"/>
        </w:rPr>
        <w:t xml:space="preserve"> (руб./км) (7)</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0"/>
        </w:rPr>
        <w:pict>
          <v:shape id="_x0000_i1056" type="#_x0000_t75" style="width:52.5pt;height:35.25pt">
            <v:imagedata r:id="rId53" o:title=""/>
          </v:shape>
        </w:pict>
      </w:r>
      <w:r>
        <w:rPr>
          <w:rFonts w:ascii="Calibri" w:hAnsi="Calibri" w:cs="Calibri"/>
        </w:rPr>
        <w:t xml:space="preserve"> (руб./кВт) (8)</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7" type="#_x0000_t75" style="width:17.25pt;height:19.5pt">
            <v:imagedata r:id="rId54" o:title=""/>
          </v:shape>
        </w:pict>
      </w:r>
      <w:r>
        <w:rPr>
          <w:rFonts w:ascii="Calibri" w:hAnsi="Calibri" w:cs="Calibri"/>
        </w:rPr>
        <w:t xml:space="preserve"> - расходы на строительство воздушных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(руб./км);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8" type="#_x0000_t75" style="width:17.25pt;height:19.5pt">
            <v:imagedata r:id="rId55" o:title=""/>
          </v:shape>
        </w:pict>
      </w:r>
      <w:r>
        <w:rPr>
          <w:rFonts w:ascii="Calibri" w:hAnsi="Calibri" w:cs="Calibri"/>
        </w:rPr>
        <w:t xml:space="preserve"> - расходы на строительство кабельных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(руб./км);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9" type="#_x0000_t75" style="width:17.25pt;height:19.5pt">
            <v:imagedata r:id="rId56" o:title=""/>
          </v:shape>
        </w:pict>
      </w:r>
      <w:r>
        <w:rPr>
          <w:rFonts w:ascii="Calibri" w:hAnsi="Calibri" w:cs="Calibri"/>
        </w:rPr>
        <w:t xml:space="preserve"> - расходы на строительство подстанций на i-м уровне напряжения в ценах того года и для того субъекта Российской Федерации, данные по которым используются для расчета, в расчете на каждую линию (руб.)</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60" type="#_x0000_t75" style="width:21.75pt;height:19.5pt">
            <v:imagedata r:id="rId57" o:title=""/>
          </v:shape>
        </w:pict>
      </w:r>
      <w:r>
        <w:rPr>
          <w:rFonts w:ascii="Calibri" w:hAnsi="Calibri" w:cs="Calibri"/>
        </w:rPr>
        <w:t xml:space="preserve"> - индекс изменения сметной стоимости строительно-монтажных работ для субъекта Российской Федерации на квартал, предшествующий кварталу, данные по которым используются для расчета, к федеральным единичным расценкам 2001 года, рекомендуемый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w:t>
      </w:r>
      <w:r>
        <w:rPr>
          <w:rFonts w:ascii="Calibri" w:hAnsi="Calibri" w:cs="Calibri"/>
          <w:position w:val="-14"/>
        </w:rPr>
        <w:pict>
          <v:shape id="_x0000_i1061" type="#_x0000_t75" style="width:17.25pt;height:19.5pt">
            <v:imagedata r:id="rId54" o:title=""/>
          </v:shape>
        </w:pict>
      </w:r>
      <w:r>
        <w:rPr>
          <w:rFonts w:ascii="Calibri" w:hAnsi="Calibri" w:cs="Calibri"/>
        </w:rPr>
        <w:t xml:space="preserve">, </w:t>
      </w:r>
      <w:r>
        <w:rPr>
          <w:rFonts w:ascii="Calibri" w:hAnsi="Calibri" w:cs="Calibri"/>
          <w:position w:val="-14"/>
        </w:rPr>
        <w:pict>
          <v:shape id="_x0000_i1062" type="#_x0000_t75" style="width:17.25pt;height:19.5pt">
            <v:imagedata r:id="rId55" o:title=""/>
          </v:shape>
        </w:pict>
      </w:r>
      <w:r>
        <w:rPr>
          <w:rFonts w:ascii="Calibri" w:hAnsi="Calibri" w:cs="Calibri"/>
        </w:rPr>
        <w:t xml:space="preserve">, </w:t>
      </w:r>
      <w:r>
        <w:rPr>
          <w:rFonts w:ascii="Calibri" w:hAnsi="Calibri" w:cs="Calibri"/>
          <w:position w:val="-14"/>
        </w:rPr>
        <w:pict>
          <v:shape id="_x0000_i1063" type="#_x0000_t75" style="width:17.25pt;height:19.5pt">
            <v:imagedata r:id="rId56" o:title=""/>
          </v:shape>
        </w:pict>
      </w:r>
      <w:r>
        <w:rPr>
          <w:rFonts w:ascii="Calibri" w:hAnsi="Calibri" w:cs="Calibri"/>
        </w:rPr>
        <w:t xml:space="preserve"> определяются с учетом строительно-монтажных работ сметных норм дополнительных затрат по температурным зонам по строительству электрических подстанций </w:t>
      </w:r>
      <w:r>
        <w:rPr>
          <w:rFonts w:ascii="Calibri" w:hAnsi="Calibri" w:cs="Calibri"/>
          <w:position w:val="-12"/>
        </w:rPr>
        <w:pict>
          <v:shape id="_x0000_i1064" type="#_x0000_t75" style="width:35.25pt;height:19.5pt">
            <v:imagedata r:id="rId58" o:title=""/>
          </v:shape>
        </w:pict>
      </w:r>
      <w:r>
        <w:rPr>
          <w:rFonts w:ascii="Calibri" w:hAnsi="Calibri" w:cs="Calibri"/>
        </w:rPr>
        <w:t>, установленных для температурной зоны субъекта Российской Федерации.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Стандартизированные тарифные ставки утверждаются регулирующим органом в ценах 2001 г. Указанные ставки применяются с учетом индекса изменения сметной стоимости по строительно-монтажным работам для субъекта Российской Федерации, данные по которым используются для расчета, к федеральным единичным расценкам 2001 года, рекомендуемым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стандартизированных тарифных ставок для расчета платы за технологическое присоединение используются показатели, участвующие в расчете, согласно выданным техническим условиям.</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8" w:name="Par172"/>
      <w:bookmarkEnd w:id="18"/>
      <w:r>
        <w:rPr>
          <w:rFonts w:ascii="Calibri" w:hAnsi="Calibri" w:cs="Calibri"/>
        </w:rPr>
        <w:t xml:space="preserve">32. Плата за технологическое присоединение в виде формулы утверждается регулирующим органом исходя из стандартизированных тарифных ставок и способа технологического присоединения к электрическим сетям сетевой организации и реализации соответствующих мероприятий, определенных </w:t>
      </w:r>
      <w:hyperlink w:anchor="Par197" w:history="1">
        <w:r>
          <w:rPr>
            <w:rFonts w:ascii="Calibri" w:hAnsi="Calibri" w:cs="Calibri"/>
            <w:color w:val="0000FF"/>
          </w:rPr>
          <w:t>Приложением N 1</w:t>
        </w:r>
      </w:hyperlink>
      <w:r>
        <w:rPr>
          <w:rFonts w:ascii="Calibri" w:hAnsi="Calibri" w:cs="Calibri"/>
        </w:rPr>
        <w:t xml:space="preserve"> к Методическим указаниям, следующим образом: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ar68" w:history="1">
        <w:r>
          <w:rPr>
            <w:rFonts w:ascii="Calibri" w:hAnsi="Calibri" w:cs="Calibri"/>
            <w:color w:val="0000FF"/>
          </w:rPr>
          <w:t>пункте 16</w:t>
        </w:r>
      </w:hyperlink>
      <w:r>
        <w:rPr>
          <w:rFonts w:ascii="Calibri" w:hAnsi="Calibri" w:cs="Calibri"/>
        </w:rPr>
        <w:t xml:space="preserve"> Методических указаний (кроме </w:t>
      </w:r>
      <w:hyperlink w:anchor="Par70" w:history="1">
        <w:r>
          <w:rPr>
            <w:rFonts w:ascii="Calibri" w:hAnsi="Calibri" w:cs="Calibri"/>
            <w:color w:val="0000FF"/>
          </w:rPr>
          <w:t>подпунктов "б"</w:t>
        </w:r>
      </w:hyperlink>
      <w:r>
        <w:rPr>
          <w:rFonts w:ascii="Calibri" w:hAnsi="Calibri" w:cs="Calibri"/>
        </w:rPr>
        <w:t xml:space="preserve"> и </w:t>
      </w:r>
      <w:hyperlink w:anchor="Par71" w:history="1">
        <w:r>
          <w:rPr>
            <w:rFonts w:ascii="Calibri" w:hAnsi="Calibri" w:cs="Calibri"/>
            <w:color w:val="0000FF"/>
          </w:rPr>
          <w:t>"в"</w:t>
        </w:r>
      </w:hyperlink>
      <w:r>
        <w:rPr>
          <w:rFonts w:ascii="Calibri" w:hAnsi="Calibri" w:cs="Calibri"/>
        </w:rPr>
        <w:t>), (С1) и объема максимальной мощности (Ni), указанного в заявке на технологическое присоединение Заявителем;</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19" w:name="Par174"/>
      <w:bookmarkEnd w:id="19"/>
      <w:r>
        <w:rPr>
          <w:rFonts w:ascii="Calibri" w:hAnsi="Calibri" w:cs="Calibri"/>
        </w:rPr>
        <w:t>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С1 и объема максимальной мощности (Ni), указанного в заявке на технологическое присоединение Заявителем, и стандартизированной тарифной ставки на покрытие расходов сетевой организации на строительство воздушных (С2) и (или) кабельных линий (С3) электропередачи на i-м уровне напряжения и суммарной протяженности воздушных и (или) кабельных линий (Li) на i-том уровне напряжения, строительство которых предусмотрено согласно выданных технических условий для технологического присоединения Заявителя (км).;</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20" w:name="Par175"/>
      <w:bookmarkEnd w:id="20"/>
      <w:r>
        <w:rPr>
          <w:rFonts w:ascii="Calibri" w:hAnsi="Calibri" w:cs="Calibri"/>
        </w:rPr>
        <w:t xml:space="preserve">в)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 то формула платы определяется как сумма расходов, определенных в соответствии с </w:t>
      </w:r>
      <w:hyperlink w:anchor="Par174" w:history="1">
        <w:r>
          <w:rPr>
            <w:rFonts w:ascii="Calibri" w:hAnsi="Calibri" w:cs="Calibri"/>
            <w:color w:val="0000FF"/>
          </w:rPr>
          <w:t>подпунктом "б"</w:t>
        </w:r>
      </w:hyperlink>
      <w:r>
        <w:rPr>
          <w:rFonts w:ascii="Calibri" w:hAnsi="Calibri" w:cs="Calibri"/>
        </w:rPr>
        <w:t xml:space="preserve"> и произведения ставки С4, указанной в </w:t>
      </w:r>
      <w:hyperlink w:anchor="Par142" w:history="1">
        <w:r>
          <w:rPr>
            <w:rFonts w:ascii="Calibri" w:hAnsi="Calibri" w:cs="Calibri"/>
            <w:color w:val="0000FF"/>
          </w:rPr>
          <w:t>п. 30</w:t>
        </w:r>
      </w:hyperlink>
      <w:r>
        <w:rPr>
          <w:rFonts w:ascii="Calibri" w:hAnsi="Calibri" w:cs="Calibri"/>
        </w:rPr>
        <w:t xml:space="preserve"> Методических указаний, и объема максимальной мощности (Ni), указанного в заявке на технологическое присоединение Заявителем.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Рассчитанная плата по </w:t>
      </w:r>
      <w:hyperlink w:anchor="Par174" w:history="1">
        <w:r>
          <w:rPr>
            <w:rFonts w:ascii="Calibri" w:hAnsi="Calibri" w:cs="Calibri"/>
            <w:color w:val="0000FF"/>
          </w:rPr>
          <w:t>подпунктам "б"</w:t>
        </w:r>
      </w:hyperlink>
      <w:r>
        <w:rPr>
          <w:rFonts w:ascii="Calibri" w:hAnsi="Calibri" w:cs="Calibri"/>
        </w:rPr>
        <w:t xml:space="preserve"> и </w:t>
      </w:r>
      <w:hyperlink w:anchor="Par175" w:history="1">
        <w:r>
          <w:rPr>
            <w:rFonts w:ascii="Calibri" w:hAnsi="Calibri" w:cs="Calibri"/>
            <w:color w:val="0000FF"/>
          </w:rPr>
          <w:t>"в"</w:t>
        </w:r>
      </w:hyperlink>
      <w:r>
        <w:rPr>
          <w:rFonts w:ascii="Calibri" w:hAnsi="Calibri" w:cs="Calibri"/>
        </w:rPr>
        <w:t xml:space="preserve"> настоящего пункта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расценкам 2001 года, </w:t>
      </w:r>
      <w:r>
        <w:rPr>
          <w:rFonts w:ascii="Calibri" w:hAnsi="Calibri" w:cs="Calibri"/>
        </w:rPr>
        <w:lastRenderedPageBreak/>
        <w:t>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для каждого присоединения рассчитывается сетевой организацией в соответствии с утвержденной формулой.</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outlineLvl w:val="1"/>
        <w:rPr>
          <w:rFonts w:ascii="Calibri" w:hAnsi="Calibri" w:cs="Calibri"/>
        </w:rPr>
      </w:pPr>
      <w:bookmarkStart w:id="21" w:name="Par179"/>
      <w:bookmarkEnd w:id="21"/>
      <w:r>
        <w:rPr>
          <w:rFonts w:ascii="Calibri" w:hAnsi="Calibri" w:cs="Calibri"/>
        </w:rPr>
        <w:t>V. Определение состава расходов на строительство</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 - от существующих</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 до присоединяемых</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и (или) объектов</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электроэнергетики, включаемых в состав платы</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Состав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включаемых в состав платы за технологическое присоединение, определяется в соответствии с мероприятиями, определенными </w:t>
      </w:r>
      <w:hyperlink w:anchor="Par197" w:history="1">
        <w:r>
          <w:rPr>
            <w:rFonts w:ascii="Calibri" w:hAnsi="Calibri" w:cs="Calibri"/>
            <w:color w:val="0000FF"/>
          </w:rPr>
          <w:t>Приложением N 1</w:t>
        </w:r>
      </w:hyperlink>
      <w:r>
        <w:rPr>
          <w:rFonts w:ascii="Calibri" w:hAnsi="Calibri" w:cs="Calibri"/>
        </w:rPr>
        <w:t xml:space="preserve"> 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технологическое присоединение конкретного Заявителя включает в том числе расходы, рассчитываемые на основании ставок, утвержденных в соответствии с Приложением N 2 (</w:t>
      </w:r>
      <w:hyperlink w:anchor="Par292" w:history="1">
        <w:r>
          <w:rPr>
            <w:rFonts w:ascii="Calibri" w:hAnsi="Calibri" w:cs="Calibri"/>
            <w:color w:val="0000FF"/>
          </w:rPr>
          <w:t>пункты 2</w:t>
        </w:r>
      </w:hyperlink>
      <w:r>
        <w:rPr>
          <w:rFonts w:ascii="Calibri" w:hAnsi="Calibri" w:cs="Calibri"/>
        </w:rPr>
        <w:t xml:space="preserve"> и </w:t>
      </w:r>
      <w:hyperlink w:anchor="Par304" w:history="1">
        <w:r>
          <w:rPr>
            <w:rFonts w:ascii="Calibri" w:hAnsi="Calibri" w:cs="Calibri"/>
            <w:color w:val="0000FF"/>
          </w:rPr>
          <w:t>3.1</w:t>
        </w:r>
      </w:hyperlink>
      <w:r>
        <w:rPr>
          <w:rFonts w:ascii="Calibri" w:hAnsi="Calibri" w:cs="Calibri"/>
        </w:rPr>
        <w:t xml:space="preserve"> - </w:t>
      </w:r>
      <w:hyperlink w:anchor="Par313" w:history="1">
        <w:r>
          <w:rPr>
            <w:rFonts w:ascii="Calibri" w:hAnsi="Calibri" w:cs="Calibri"/>
            <w:color w:val="0000FF"/>
          </w:rPr>
          <w:t>3.4</w:t>
        </w:r>
      </w:hyperlink>
      <w:r>
        <w:rPr>
          <w:rFonts w:ascii="Calibri" w:hAnsi="Calibri" w:cs="Calibri"/>
        </w:rPr>
        <w:t>) только по мероприятиям, которые необходимо осуществить, в зависимости от присоединения энергопринимающих устройств и (или) объектов электроэнергетики на основании поданной заявки.</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right"/>
        <w:outlineLvl w:val="1"/>
        <w:rPr>
          <w:rFonts w:ascii="Calibri" w:hAnsi="Calibri" w:cs="Calibri"/>
        </w:rPr>
      </w:pPr>
      <w:bookmarkStart w:id="22" w:name="Par194"/>
      <w:bookmarkEnd w:id="22"/>
      <w:r>
        <w:rPr>
          <w:rFonts w:ascii="Calibri" w:hAnsi="Calibri" w:cs="Calibri"/>
        </w:rPr>
        <w:t>Приложение N 1</w:t>
      </w: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rPr>
          <w:rFonts w:ascii="Calibri" w:hAnsi="Calibri" w:cs="Calibri"/>
        </w:rPr>
      </w:pPr>
      <w:bookmarkStart w:id="23" w:name="Par197"/>
      <w:bookmarkEnd w:id="23"/>
      <w:r>
        <w:rPr>
          <w:rFonts w:ascii="Calibri" w:hAnsi="Calibri" w:cs="Calibri"/>
        </w:rPr>
        <w:t>СОСТАВ</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РАСХОДОВ НА СТРОИТЕЛЬСТВО ОБЪЕКТОВ ЭЛЕКТРОСЕТЕВОГО</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ОТ СУЩЕСТВУЮЩИХ ОБЪЕКТОВ ЭЛЕКТРОСЕТЕВОГО</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ДО ПРИСОЕДИНЯЕМЫХ ЭНЕРГОПРИНИМАЮЩИХ УСТРОЙСТВ</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И (ИЛИ) ОБЪЕКТОВ ЭЛЕКТРОЭНЕРГЕТИКИ, ВКЛЮЧАЕМЫХ</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В СОСТАВ ПЛАТЫ ЗА ТЕХНОЛОГИЧЕСКОЕ ПРИСОЕДИНЕНИЕ</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В ЗАВИСИМОСТИ ОТ СПОСОБА</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B47F99" w:rsidRDefault="00B47F99">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014"/>
        <w:gridCol w:w="1802"/>
        <w:gridCol w:w="1802"/>
        <w:gridCol w:w="1802"/>
        <w:gridCol w:w="1802"/>
      </w:tblGrid>
      <w:tr w:rsidR="00B47F99">
        <w:tblPrEx>
          <w:tblCellMar>
            <w:top w:w="0" w:type="dxa"/>
            <w:bottom w:w="0" w:type="dxa"/>
          </w:tblCellMar>
        </w:tblPrEx>
        <w:trPr>
          <w:trHeight w:val="720"/>
          <w:tblCellSpacing w:w="5" w:type="nil"/>
        </w:trPr>
        <w:tc>
          <w:tcPr>
            <w:tcW w:w="2014" w:type="dxa"/>
            <w:vMerge w:val="restart"/>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Состав расходов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 мероприятиям </w:t>
            </w:r>
          </w:p>
        </w:tc>
        <w:tc>
          <w:tcPr>
            <w:tcW w:w="3604" w:type="dxa"/>
            <w:gridSpan w:val="2"/>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Присоединение объектов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Заявителя к ячейке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(ТП, РТП, РП, ПС)       </w:t>
            </w:r>
          </w:p>
        </w:tc>
        <w:tc>
          <w:tcPr>
            <w:tcW w:w="3604" w:type="dxa"/>
            <w:gridSpan w:val="2"/>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Присоединение объектов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Заявителя к линии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электропередачи (ЛЭП)     </w:t>
            </w:r>
          </w:p>
        </w:tc>
      </w:tr>
      <w:tr w:rsidR="00B47F99">
        <w:tblPrEx>
          <w:tblCellMar>
            <w:top w:w="0" w:type="dxa"/>
            <w:bottom w:w="0" w:type="dxa"/>
          </w:tblCellMar>
        </w:tblPrEx>
        <w:trPr>
          <w:trHeight w:val="2520"/>
          <w:tblCellSpacing w:w="5" w:type="nil"/>
        </w:trPr>
        <w:tc>
          <w:tcPr>
            <w:tcW w:w="2014" w:type="dxa"/>
            <w:vMerge/>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ind w:firstLine="540"/>
              <w:jc w:val="both"/>
              <w:rPr>
                <w:rFonts w:ascii="Calibri" w:hAnsi="Calibri" w:cs="Calibri"/>
              </w:rPr>
            </w:pP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уровень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указанный 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заявке,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соответствует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напряжению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присоединения к</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существующему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объекту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электросетевого</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хозяйства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(трансформация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не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требуется)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уровень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указанный 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заявке, не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соответствует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напряжению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присоединения к</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существующему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объекту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электросетевого</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хозяйства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(трансформация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требуется)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уровень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указанный 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заявке,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соответствует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напряжению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присоединения к</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существующему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объекту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электросетевого</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хозяйства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(трансформация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не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требуется)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уровень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указанный 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заявке, не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соответствует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напряжению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присоединения к</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существующему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объекту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электросетевого</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хозяйства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(трансформация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напряжения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требуется)   </w:t>
            </w:r>
          </w:p>
        </w:tc>
      </w:tr>
      <w:tr w:rsidR="00B47F99">
        <w:tblPrEx>
          <w:tblCellMar>
            <w:top w:w="0" w:type="dxa"/>
            <w:bottom w:w="0" w:type="dxa"/>
          </w:tblCellMar>
        </w:tblPrEx>
        <w:trPr>
          <w:tblCellSpacing w:w="5" w:type="nil"/>
        </w:trPr>
        <w:tc>
          <w:tcPr>
            <w:tcW w:w="201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Расходы на: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p>
        </w:tc>
      </w:tr>
      <w:tr w:rsidR="00B47F99">
        <w:tblPrEx>
          <w:tblCellMar>
            <w:top w:w="0" w:type="dxa"/>
            <w:bottom w:w="0" w:type="dxa"/>
          </w:tblCellMar>
        </w:tblPrEx>
        <w:trPr>
          <w:trHeight w:val="540"/>
          <w:tblCellSpacing w:w="5" w:type="nil"/>
        </w:trPr>
        <w:tc>
          <w:tcPr>
            <w:tcW w:w="201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Строительство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воздушных и (или)</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кабельных линий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B47F99">
        <w:tblPrEx>
          <w:tblCellMar>
            <w:top w:w="0" w:type="dxa"/>
            <w:bottom w:w="0" w:type="dxa"/>
          </w:tblCellMar>
        </w:tblPrEx>
        <w:trPr>
          <w:trHeight w:val="720"/>
          <w:tblCellSpacing w:w="5" w:type="nil"/>
        </w:trPr>
        <w:tc>
          <w:tcPr>
            <w:tcW w:w="201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Строительство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пунктов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секционирования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hyperlink w:anchor="Par258" w:history="1">
              <w:r>
                <w:rPr>
                  <w:rFonts w:ascii="Courier New" w:hAnsi="Courier New" w:cs="Courier New"/>
                  <w:color w:val="0000FF"/>
                  <w:sz w:val="18"/>
                  <w:szCs w:val="18"/>
                </w:rPr>
                <w:t>&lt;1&gt;</w:t>
              </w:r>
            </w:hyperlink>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B47F99">
        <w:tblPrEx>
          <w:tblCellMar>
            <w:top w:w="0" w:type="dxa"/>
            <w:bottom w:w="0" w:type="dxa"/>
          </w:tblCellMar>
        </w:tblPrEx>
        <w:trPr>
          <w:trHeight w:val="1800"/>
          <w:tblCellSpacing w:w="5" w:type="nil"/>
        </w:trPr>
        <w:tc>
          <w:tcPr>
            <w:tcW w:w="201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Строительство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комплектных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трансформаторных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подстанций (КТП),</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распределительных</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трансформаторных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подстанций (РТП)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уровнем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напряжения до 35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кВ </w:t>
            </w:r>
            <w:hyperlink w:anchor="Par260" w:history="1">
              <w:r>
                <w:rPr>
                  <w:rFonts w:ascii="Courier New" w:hAnsi="Courier New" w:cs="Courier New"/>
                  <w:color w:val="0000FF"/>
                  <w:sz w:val="18"/>
                  <w:szCs w:val="18"/>
                </w:rPr>
                <w:t>&lt;2&gt;</w:t>
              </w:r>
            </w:hyperlink>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bookmarkStart w:id="24" w:name="Par237"/>
            <w:bookmarkEnd w:id="24"/>
            <w:r>
              <w:rPr>
                <w:rFonts w:ascii="Courier New" w:hAnsi="Courier New" w:cs="Courier New"/>
                <w:sz w:val="18"/>
                <w:szCs w:val="18"/>
              </w:rPr>
              <w:t xml:space="preserve">       +       </w:t>
            </w:r>
          </w:p>
        </w:tc>
      </w:tr>
      <w:tr w:rsidR="00B47F99">
        <w:tblPrEx>
          <w:tblCellMar>
            <w:top w:w="0" w:type="dxa"/>
            <w:bottom w:w="0" w:type="dxa"/>
          </w:tblCellMar>
        </w:tblPrEx>
        <w:trPr>
          <w:trHeight w:val="1080"/>
          <w:tblCellSpacing w:w="5" w:type="nil"/>
        </w:trPr>
        <w:tc>
          <w:tcPr>
            <w:tcW w:w="201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Строительство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центров питания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подстанций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уровнем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напряжения 35 кВ </w:t>
            </w:r>
          </w:p>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выше (ПС) </w:t>
            </w:r>
            <w:hyperlink w:anchor="Par262" w:history="1">
              <w:r>
                <w:rPr>
                  <w:rFonts w:ascii="Courier New" w:hAnsi="Courier New" w:cs="Courier New"/>
                  <w:color w:val="0000FF"/>
                  <w:sz w:val="18"/>
                  <w:szCs w:val="18"/>
                </w:rPr>
                <w:t>&lt;3&gt;</w:t>
              </w:r>
            </w:hyperlink>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80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18"/>
                <w:szCs w:val="18"/>
              </w:rPr>
            </w:pPr>
            <w:bookmarkStart w:id="25" w:name="Par248"/>
            <w:bookmarkEnd w:id="25"/>
            <w:r>
              <w:rPr>
                <w:rFonts w:ascii="Courier New" w:hAnsi="Courier New" w:cs="Courier New"/>
                <w:sz w:val="18"/>
                <w:szCs w:val="18"/>
              </w:rPr>
              <w:t xml:space="preserve">       +       </w:t>
            </w:r>
          </w:p>
        </w:tc>
      </w:tr>
    </w:tbl>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26" w:name="Par258"/>
      <w:bookmarkEnd w:id="26"/>
      <w:r>
        <w:rPr>
          <w:rFonts w:ascii="Calibri" w:hAnsi="Calibri" w:cs="Calibri"/>
        </w:rPr>
        <w:t>&lt;1&gt; Строительство пунктов секционирования (реклоузеров, РП-распределительных пунктов, ПП-переключательных пунктов):</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выполняется для деления электрической сети и обеспечения селективности работы защит, обеспечения категории надежности электроснабжения, а также обеспечения нескольких точек присоединения Заявителю.</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27" w:name="Par260"/>
      <w:bookmarkEnd w:id="27"/>
      <w:r>
        <w:rPr>
          <w:rFonts w:ascii="Calibri" w:hAnsi="Calibri" w:cs="Calibri"/>
        </w:rPr>
        <w:t>&lt;2&gt; Строительство комплектных трансформаторных подстанций (КТП), распределительных трансформаторных подстанций (РТП) с уровнем напряжения до 35 кВ:</w:t>
      </w:r>
    </w:p>
    <w:p w:rsidR="00B47F99" w:rsidRDefault="00B47F9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требуется в случае обеспечения Заявителя уровнем напряжения, равным указанному в заявке, а также при необходимости обеспечения нескольких точек присоединения.</w:t>
      </w:r>
    </w:p>
    <w:p w:rsidR="00B47F99" w:rsidRDefault="00B47F99">
      <w:pPr>
        <w:widowControl w:val="0"/>
        <w:autoSpaceDE w:val="0"/>
        <w:autoSpaceDN w:val="0"/>
        <w:adjustRightInd w:val="0"/>
        <w:spacing w:after="0" w:line="240" w:lineRule="auto"/>
        <w:ind w:firstLine="540"/>
        <w:jc w:val="both"/>
        <w:rPr>
          <w:rFonts w:ascii="Calibri" w:hAnsi="Calibri" w:cs="Calibri"/>
        </w:rPr>
      </w:pPr>
      <w:bookmarkStart w:id="28" w:name="Par262"/>
      <w:bookmarkEnd w:id="28"/>
      <w:r>
        <w:rPr>
          <w:rFonts w:ascii="Calibri" w:hAnsi="Calibri" w:cs="Calibri"/>
        </w:rPr>
        <w:t>&lt;3&gt; Строительство центров питания, подстанций уровнем напряжения 35 кВ и выше (ПС) требуется в случае обеспечения Заявителя уровнем напряжения, равным указанному в заявке, а также при необходимости обеспечения нескольких точек присоединения.</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right"/>
        <w:outlineLvl w:val="1"/>
        <w:rPr>
          <w:rFonts w:ascii="Calibri" w:hAnsi="Calibri" w:cs="Calibri"/>
        </w:rPr>
      </w:pPr>
      <w:bookmarkStart w:id="29" w:name="Par268"/>
      <w:bookmarkEnd w:id="29"/>
      <w:r>
        <w:rPr>
          <w:rFonts w:ascii="Calibri" w:hAnsi="Calibri" w:cs="Calibri"/>
        </w:rPr>
        <w:t>Приложение N 2</w:t>
      </w: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w:t>
      </w:r>
    </w:p>
    <w:p w:rsidR="00B47F99" w:rsidRDefault="00B47F99">
      <w:pPr>
        <w:widowControl w:val="0"/>
        <w:autoSpaceDE w:val="0"/>
        <w:autoSpaceDN w:val="0"/>
        <w:adjustRightInd w:val="0"/>
        <w:spacing w:after="0" w:line="240" w:lineRule="auto"/>
        <w:jc w:val="center"/>
        <w:rPr>
          <w:rFonts w:ascii="Calibri" w:hAnsi="Calibri" w:cs="Calibri"/>
        </w:rPr>
      </w:pPr>
    </w:p>
    <w:p w:rsidR="00B47F99" w:rsidRDefault="00B47F99">
      <w:pPr>
        <w:pStyle w:val="ConsPlusNonformat"/>
      </w:pPr>
      <w:bookmarkStart w:id="30" w:name="Par271"/>
      <w:bookmarkEnd w:id="30"/>
      <w:r>
        <w:t xml:space="preserve">                          Стоимость мероприятий,</w:t>
      </w:r>
    </w:p>
    <w:p w:rsidR="00B47F99" w:rsidRDefault="00B47F99">
      <w:pPr>
        <w:pStyle w:val="ConsPlusNonformat"/>
      </w:pPr>
      <w:r>
        <w:t xml:space="preserve">         осуществляемых при технологическом присоединении единицы</w:t>
      </w:r>
    </w:p>
    <w:p w:rsidR="00B47F99" w:rsidRDefault="00B47F99">
      <w:pPr>
        <w:pStyle w:val="ConsPlusNonformat"/>
      </w:pPr>
      <w:r>
        <w:t xml:space="preserve">                         мощности (1 кВт) руб./кВт</w:t>
      </w:r>
    </w:p>
    <w:p w:rsidR="00B47F99" w:rsidRDefault="00B47F99">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819"/>
        <w:gridCol w:w="2925"/>
        <w:gridCol w:w="1872"/>
        <w:gridCol w:w="1755"/>
        <w:gridCol w:w="1872"/>
      </w:tblGrid>
      <w:tr w:rsidR="00B47F99">
        <w:tblPrEx>
          <w:tblCellMar>
            <w:top w:w="0" w:type="dxa"/>
            <w:bottom w:w="0" w:type="dxa"/>
          </w:tblCellMar>
        </w:tblPrEx>
        <w:trPr>
          <w:trHeight w:val="400"/>
          <w:tblCellSpacing w:w="5" w:type="nil"/>
        </w:trPr>
        <w:tc>
          <w:tcPr>
            <w:tcW w:w="819" w:type="dxa"/>
            <w:vMerge w:val="restart"/>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п/п </w:t>
            </w:r>
          </w:p>
        </w:tc>
        <w:tc>
          <w:tcPr>
            <w:tcW w:w="2925" w:type="dxa"/>
            <w:vMerge w:val="restart"/>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мероприятий      </w:t>
            </w:r>
          </w:p>
        </w:tc>
        <w:tc>
          <w:tcPr>
            <w:tcW w:w="3627" w:type="dxa"/>
            <w:gridSpan w:val="2"/>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200"/>
          <w:tblCellSpacing w:w="5" w:type="nil"/>
        </w:trPr>
        <w:tc>
          <w:tcPr>
            <w:tcW w:w="819" w:type="dxa"/>
            <w:vMerge/>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jc w:val="both"/>
              <w:rPr>
                <w:rFonts w:ascii="Calibri" w:hAnsi="Calibri" w:cs="Calibri"/>
              </w:rPr>
            </w:pPr>
          </w:p>
        </w:tc>
        <w:tc>
          <w:tcPr>
            <w:tcW w:w="2925" w:type="dxa"/>
            <w:vMerge/>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jc w:val="both"/>
              <w:rPr>
                <w:rFonts w:ascii="Calibri" w:hAnsi="Calibri" w:cs="Calibri"/>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Разбивка НВВ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согласно   </w:t>
            </w:r>
          </w:p>
          <w:p w:rsidR="00B47F99" w:rsidRDefault="00B47F99">
            <w:pPr>
              <w:widowControl w:val="0"/>
              <w:autoSpaceDE w:val="0"/>
              <w:autoSpaceDN w:val="0"/>
              <w:adjustRightInd w:val="0"/>
              <w:spacing w:after="0" w:line="240" w:lineRule="auto"/>
              <w:rPr>
                <w:rFonts w:ascii="Courier New" w:hAnsi="Courier New" w:cs="Courier New"/>
                <w:sz w:val="20"/>
                <w:szCs w:val="20"/>
              </w:rPr>
            </w:pPr>
            <w:hyperlink w:anchor="Par197" w:history="1">
              <w:r>
                <w:rPr>
                  <w:rFonts w:ascii="Courier New" w:hAnsi="Courier New" w:cs="Courier New"/>
                  <w:color w:val="0000FF"/>
                  <w:sz w:val="20"/>
                  <w:szCs w:val="20"/>
                </w:rPr>
                <w:t>приложению 1</w:t>
              </w:r>
            </w:hyperlink>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каждому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мероприятию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    </w:t>
            </w: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Объем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максимальной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мощности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(кВт)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Ставки для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расчета платы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 каждому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мероприятию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(руб./кВт)  </w:t>
            </w:r>
          </w:p>
        </w:tc>
      </w:tr>
      <w:tr w:rsidR="00B47F99">
        <w:tblPrEx>
          <w:tblCellMar>
            <w:top w:w="0" w:type="dxa"/>
            <w:bottom w:w="0" w:type="dxa"/>
          </w:tblCellMar>
        </w:tblPrEx>
        <w:trPr>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r>
      <w:tr w:rsidR="00B47F99">
        <w:tblPrEx>
          <w:tblCellMar>
            <w:top w:w="0" w:type="dxa"/>
            <w:bottom w:w="0" w:type="dxa"/>
          </w:tblCellMar>
        </w:tblPrEx>
        <w:trPr>
          <w:trHeight w:val="8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1" w:name="Par287"/>
            <w:bookmarkEnd w:id="31"/>
            <w:r>
              <w:rPr>
                <w:rFonts w:ascii="Courier New" w:hAnsi="Courier New" w:cs="Courier New"/>
                <w:sz w:val="20"/>
                <w:szCs w:val="20"/>
              </w:rPr>
              <w:t xml:space="preserve">Подготовка и выдача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сетевой организацией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технических условий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Заявителю (ТУ)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0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2" w:name="Par292"/>
            <w:bookmarkEnd w:id="32"/>
            <w:r>
              <w:rPr>
                <w:rFonts w:ascii="Courier New" w:hAnsi="Courier New" w:cs="Courier New"/>
                <w:sz w:val="20"/>
                <w:szCs w:val="20"/>
              </w:rPr>
              <w:t xml:space="preserve">Разработка сетевой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организацией проектной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документации по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строительству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"последней мили"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0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Выполнение сетевой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организацией,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связанных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 строительством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"последней мили"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r>
      <w:tr w:rsidR="00B47F99">
        <w:tblPrEx>
          <w:tblCellMar>
            <w:top w:w="0" w:type="dxa"/>
            <w:bottom w:w="0" w:type="dxa"/>
          </w:tblCellMar>
        </w:tblPrEx>
        <w:trPr>
          <w:trHeight w:val="4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3.1.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3" w:name="Par304"/>
            <w:bookmarkEnd w:id="33"/>
            <w:r>
              <w:rPr>
                <w:rFonts w:ascii="Courier New" w:hAnsi="Courier New" w:cs="Courier New"/>
                <w:sz w:val="20"/>
                <w:szCs w:val="20"/>
              </w:rPr>
              <w:t>строительство воздушных</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линий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3.2.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4" w:name="Par307"/>
            <w:bookmarkEnd w:id="34"/>
            <w:r>
              <w:rPr>
                <w:rFonts w:ascii="Courier New" w:hAnsi="Courier New" w:cs="Courier New"/>
                <w:sz w:val="20"/>
                <w:szCs w:val="20"/>
              </w:rPr>
              <w:t>строительство кабельных</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линий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3.3.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строительство пунктов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секционирования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8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3.4.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5" w:name="Par313"/>
            <w:bookmarkEnd w:id="35"/>
            <w:r>
              <w:rPr>
                <w:rFonts w:ascii="Courier New" w:hAnsi="Courier New" w:cs="Courier New"/>
                <w:sz w:val="20"/>
                <w:szCs w:val="20"/>
              </w:rPr>
              <w:t xml:space="preserve">строительство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комплектных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трансформаторных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подстанций (КТП),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распределительных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трансформаторных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подстанций (РТП) с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уровнем напряжения до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35 кВ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8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3.5.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6" w:name="Par323"/>
            <w:bookmarkEnd w:id="36"/>
            <w:r>
              <w:rPr>
                <w:rFonts w:ascii="Courier New" w:hAnsi="Courier New" w:cs="Courier New"/>
                <w:sz w:val="20"/>
                <w:szCs w:val="20"/>
              </w:rPr>
              <w:t xml:space="preserve">строительство центров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питания, подстанций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уровнем напряжения 35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 и выше (ПС)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6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7" w:name="Par328"/>
            <w:bookmarkEnd w:id="37"/>
            <w:r>
              <w:rPr>
                <w:rFonts w:ascii="Courier New" w:hAnsi="Courier New" w:cs="Courier New"/>
                <w:sz w:val="20"/>
                <w:szCs w:val="20"/>
              </w:rPr>
              <w:t xml:space="preserve">Проверка сетевой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организацией выполнения</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Заявителем ТУ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0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8" w:name="Par332"/>
            <w:bookmarkEnd w:id="38"/>
            <w:r>
              <w:rPr>
                <w:rFonts w:ascii="Courier New" w:hAnsi="Courier New" w:cs="Courier New"/>
                <w:sz w:val="20"/>
                <w:szCs w:val="20"/>
              </w:rPr>
              <w:t xml:space="preserve">Участие в осмотре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должностным лицом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Ростехнадзора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присоединяемых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 Заявителя </w:t>
            </w:r>
            <w:hyperlink w:anchor="Par346" w:history="1">
              <w:r>
                <w:rPr>
                  <w:rFonts w:ascii="Courier New" w:hAnsi="Courier New" w:cs="Courier New"/>
                  <w:color w:val="0000FF"/>
                  <w:sz w:val="20"/>
                  <w:szCs w:val="20"/>
                </w:rPr>
                <w:t>&lt;1&gt;</w:t>
              </w:r>
            </w:hyperlink>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000"/>
          <w:tblCellSpacing w:w="5" w:type="nil"/>
        </w:trPr>
        <w:tc>
          <w:tcPr>
            <w:tcW w:w="81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   </w:t>
            </w:r>
          </w:p>
        </w:tc>
        <w:tc>
          <w:tcPr>
            <w:tcW w:w="292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39" w:name="Par338"/>
            <w:bookmarkEnd w:id="39"/>
            <w:r>
              <w:rPr>
                <w:rFonts w:ascii="Courier New" w:hAnsi="Courier New" w:cs="Courier New"/>
                <w:sz w:val="20"/>
                <w:szCs w:val="20"/>
              </w:rPr>
              <w:t>Фактические действия по</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присоединению 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обеспечению работы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 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электрической сети     </w:t>
            </w: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872"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bl>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pStyle w:val="ConsPlusNonformat"/>
      </w:pPr>
      <w:r>
        <w:t xml:space="preserve">    --------------------------------</w:t>
      </w:r>
    </w:p>
    <w:p w:rsidR="00B47F99" w:rsidRDefault="00B47F99">
      <w:pPr>
        <w:pStyle w:val="ConsPlusNonformat"/>
      </w:pPr>
      <w:bookmarkStart w:id="40" w:name="Par346"/>
      <w:bookmarkEnd w:id="40"/>
      <w:r>
        <w:t xml:space="preserve">    &lt;1&gt;   Данные   расходы   не   учитываются  при  установлении  платы  за</w:t>
      </w:r>
    </w:p>
    <w:p w:rsidR="00B47F99" w:rsidRDefault="00B47F99">
      <w:pPr>
        <w:pStyle w:val="ConsPlusNonformat"/>
      </w:pPr>
      <w:r>
        <w:t>технологическое   присоединение   для  Заявителей  -  юридических  лиц  или</w:t>
      </w:r>
    </w:p>
    <w:p w:rsidR="00B47F99" w:rsidRDefault="00B47F99">
      <w:pPr>
        <w:pStyle w:val="ConsPlusNonformat"/>
      </w:pPr>
      <w:r>
        <w:t>индивидуальных  предпринимателей  в целях технологического присоединения по</w:t>
      </w:r>
    </w:p>
    <w:p w:rsidR="00B47F99" w:rsidRDefault="00B47F99">
      <w:pPr>
        <w:pStyle w:val="ConsPlusNonformat"/>
      </w:pPr>
      <w:r>
        <w:t>одному источнику электроснабжения энергопринимающих устройств, максимальная</w:t>
      </w:r>
    </w:p>
    <w:p w:rsidR="00B47F99" w:rsidRDefault="00B47F99">
      <w:pPr>
        <w:pStyle w:val="ConsPlusNonformat"/>
      </w:pPr>
      <w:r>
        <w:lastRenderedPageBreak/>
        <w:t>мощность  которых  составляет  до  150  кВт  включительно  (с  учетом ранее</w:t>
      </w:r>
    </w:p>
    <w:p w:rsidR="00B47F99" w:rsidRDefault="00B47F99">
      <w:pPr>
        <w:pStyle w:val="ConsPlusNonformat"/>
      </w:pPr>
      <w:r>
        <w:t>присоединенной  в  данной  точке  присоединения мощности); для Заявителей в</w:t>
      </w:r>
    </w:p>
    <w:p w:rsidR="00B47F99" w:rsidRDefault="00B47F99">
      <w:pPr>
        <w:pStyle w:val="ConsPlusNonformat"/>
      </w:pPr>
      <w:r>
        <w:t>целях   временного   (на   срок   не   более  6  месяцев)  технологического</w:t>
      </w:r>
    </w:p>
    <w:p w:rsidR="00B47F99" w:rsidRDefault="00B47F99">
      <w:pPr>
        <w:pStyle w:val="ConsPlusNonformat"/>
      </w:pPr>
      <w:r>
        <w:t>присоединения принадлежащих ему энергопринимающих устройств для обеспечения</w:t>
      </w:r>
    </w:p>
    <w:p w:rsidR="00B47F99" w:rsidRDefault="00B47F99">
      <w:pPr>
        <w:pStyle w:val="ConsPlusNonformat"/>
      </w:pPr>
      <w:r>
        <w:t>электрической энергией передвижных объектов с максимальной мощностью до 100</w:t>
      </w:r>
    </w:p>
    <w:p w:rsidR="00B47F99" w:rsidRDefault="00B47F99">
      <w:pPr>
        <w:pStyle w:val="ConsPlusNonformat"/>
      </w:pPr>
      <w:r>
        <w:t>кВт   включительно   (с   учетом   ранее   присоединенной  в  данной  точке</w:t>
      </w:r>
    </w:p>
    <w:p w:rsidR="00B47F99" w:rsidRDefault="00B47F99">
      <w:pPr>
        <w:pStyle w:val="ConsPlusNonformat"/>
      </w:pPr>
      <w:r>
        <w:t>присоединения   мощности);   для   Заявителей  -  физических  лиц  в  целях</w:t>
      </w:r>
    </w:p>
    <w:p w:rsidR="00B47F99" w:rsidRDefault="00B47F99">
      <w:pPr>
        <w:pStyle w:val="ConsPlusNonformat"/>
      </w:pPr>
      <w:r>
        <w:t>технологического  присоединения  энергопринимающих  устройств, максимальная</w:t>
      </w:r>
    </w:p>
    <w:p w:rsidR="00B47F99" w:rsidRDefault="00B47F99">
      <w:pPr>
        <w:pStyle w:val="ConsPlusNonformat"/>
      </w:pPr>
      <w:r>
        <w:t>мощность  которых  составляет  до  15  кВт  включительно  (с  учетом  ранее</w:t>
      </w:r>
    </w:p>
    <w:p w:rsidR="00B47F99" w:rsidRDefault="00B47F99">
      <w:pPr>
        <w:pStyle w:val="ConsPlusNonformat"/>
      </w:pPr>
      <w:r>
        <w:t>присоединенной в данной точке присоединения мощности), которые используются</w:t>
      </w:r>
    </w:p>
    <w:p w:rsidR="00B47F99" w:rsidRDefault="00B47F99">
      <w:pPr>
        <w:pStyle w:val="ConsPlusNonformat"/>
      </w:pPr>
      <w:r>
        <w:t>для  бытовых и иных нужд, не связанных с осуществлением предпринимательской</w:t>
      </w:r>
    </w:p>
    <w:p w:rsidR="00B47F99" w:rsidRDefault="00B47F99">
      <w:pPr>
        <w:pStyle w:val="ConsPlusNonformat"/>
      </w:pPr>
      <w:r>
        <w:t>деятельности,   и  электроснабжение  которых  предусматривается  по  одному</w:t>
      </w:r>
    </w:p>
    <w:p w:rsidR="00B47F99" w:rsidRDefault="00B47F99">
      <w:pPr>
        <w:pStyle w:val="ConsPlusNonformat"/>
      </w:pPr>
      <w:r>
        <w:t>источнику.</w:t>
      </w:r>
    </w:p>
    <w:p w:rsidR="00B47F99" w:rsidRDefault="00B47F99">
      <w:pPr>
        <w:pStyle w:val="ConsPlusNonformat"/>
      </w:pPr>
    </w:p>
    <w:p w:rsidR="00B47F99" w:rsidRDefault="00B47F99">
      <w:pPr>
        <w:pStyle w:val="ConsPlusNonformat"/>
      </w:pPr>
      <w:r>
        <w:t xml:space="preserve">      Утверждаю:</w:t>
      </w:r>
    </w:p>
    <w:p w:rsidR="00B47F99" w:rsidRDefault="00B47F99">
      <w:pPr>
        <w:pStyle w:val="ConsPlusNonformat"/>
      </w:pPr>
      <w:r>
        <w:t>Руководитель уполномоченного органа</w:t>
      </w:r>
    </w:p>
    <w:p w:rsidR="00B47F99" w:rsidRDefault="00B47F99">
      <w:pPr>
        <w:pStyle w:val="ConsPlusNonformat"/>
      </w:pPr>
      <w:r>
        <w:t>исполнительной власти в области</w:t>
      </w:r>
    </w:p>
    <w:p w:rsidR="00B47F99" w:rsidRDefault="00B47F99">
      <w:pPr>
        <w:pStyle w:val="ConsPlusNonformat"/>
      </w:pPr>
      <w:r>
        <w:t>государственного регулирования тарифов             подпись</w:t>
      </w:r>
    </w:p>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jc w:val="both"/>
        <w:rPr>
          <w:rFonts w:ascii="Calibri" w:hAnsi="Calibri" w:cs="Calibri"/>
        </w:rPr>
      </w:pPr>
    </w:p>
    <w:p w:rsidR="00B47F99" w:rsidRDefault="00B47F99">
      <w:pPr>
        <w:widowControl w:val="0"/>
        <w:autoSpaceDE w:val="0"/>
        <w:autoSpaceDN w:val="0"/>
        <w:adjustRightInd w:val="0"/>
        <w:spacing w:after="0" w:line="240" w:lineRule="auto"/>
        <w:jc w:val="right"/>
        <w:outlineLvl w:val="1"/>
        <w:rPr>
          <w:rFonts w:ascii="Calibri" w:hAnsi="Calibri" w:cs="Calibri"/>
        </w:rPr>
      </w:pPr>
      <w:bookmarkStart w:id="41" w:name="Par373"/>
      <w:bookmarkEnd w:id="41"/>
      <w:r>
        <w:rPr>
          <w:rFonts w:ascii="Calibri" w:hAnsi="Calibri" w:cs="Calibri"/>
        </w:rPr>
        <w:t>Приложение N 3</w:t>
      </w: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center"/>
        <w:rPr>
          <w:rFonts w:ascii="Calibri" w:hAnsi="Calibri" w:cs="Calibri"/>
        </w:rPr>
      </w:pPr>
      <w:bookmarkStart w:id="42" w:name="Par376"/>
      <w:bookmarkEnd w:id="42"/>
      <w:r>
        <w:rPr>
          <w:rFonts w:ascii="Calibri" w:hAnsi="Calibri" w:cs="Calibri"/>
        </w:rPr>
        <w:t>Расчет</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необходимой валовой выручки сетевой организации</w:t>
      </w:r>
    </w:p>
    <w:p w:rsidR="00B47F99" w:rsidRDefault="00B47F99">
      <w:pPr>
        <w:widowControl w:val="0"/>
        <w:autoSpaceDE w:val="0"/>
        <w:autoSpaceDN w:val="0"/>
        <w:adjustRightInd w:val="0"/>
        <w:spacing w:after="0" w:line="240" w:lineRule="auto"/>
        <w:jc w:val="center"/>
        <w:rPr>
          <w:rFonts w:ascii="Calibri" w:hAnsi="Calibri" w:cs="Calibri"/>
        </w:rPr>
      </w:pPr>
      <w:r>
        <w:rPr>
          <w:rFonts w:ascii="Calibri" w:hAnsi="Calibri" w:cs="Calibri"/>
        </w:rPr>
        <w:t>на технологическое присоединение</w:t>
      </w: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CellSpacing w:w="5" w:type="nil"/>
        <w:tblInd w:w="75" w:type="dxa"/>
        <w:tblLayout w:type="fixed"/>
        <w:tblCellMar>
          <w:left w:w="75" w:type="dxa"/>
          <w:right w:w="75" w:type="dxa"/>
        </w:tblCellMar>
        <w:tblLook w:val="0000"/>
      </w:tblPr>
      <w:tblGrid>
        <w:gridCol w:w="1404"/>
        <w:gridCol w:w="4329"/>
        <w:gridCol w:w="1638"/>
        <w:gridCol w:w="1755"/>
      </w:tblGrid>
      <w:tr w:rsidR="00B47F99">
        <w:tblPrEx>
          <w:tblCellMar>
            <w:top w:w="0" w:type="dxa"/>
            <w:bottom w:w="0" w:type="dxa"/>
          </w:tblCellMar>
        </w:tblPrEx>
        <w:trPr>
          <w:trHeight w:val="800"/>
          <w:tblCellSpacing w:w="5" w:type="nil"/>
        </w:trPr>
        <w:tc>
          <w:tcPr>
            <w:tcW w:w="1404" w:type="dxa"/>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п/п   </w:t>
            </w:r>
          </w:p>
        </w:tc>
        <w:tc>
          <w:tcPr>
            <w:tcW w:w="4329" w:type="dxa"/>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Показатели             </w:t>
            </w:r>
          </w:p>
        </w:tc>
        <w:tc>
          <w:tcPr>
            <w:tcW w:w="1638" w:type="dxa"/>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Ожидаемые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данные за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текущий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tc>
        <w:tc>
          <w:tcPr>
            <w:tcW w:w="1755" w:type="dxa"/>
            <w:tcBorders>
              <w:top w:val="single" w:sz="8" w:space="0" w:color="auto"/>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Плановые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следующий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период    </w:t>
            </w: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r>
      <w:tr w:rsidR="00B47F99">
        <w:tblPrEx>
          <w:tblCellMar>
            <w:top w:w="0" w:type="dxa"/>
            <w:bottom w:w="0" w:type="dxa"/>
          </w:tblCellMar>
        </w:tblPrEx>
        <w:trPr>
          <w:trHeight w:val="6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43" w:name="Par389"/>
            <w:bookmarkEnd w:id="43"/>
            <w:r>
              <w:rPr>
                <w:rFonts w:ascii="Courier New" w:hAnsi="Courier New" w:cs="Courier New"/>
                <w:sz w:val="20"/>
                <w:szCs w:val="20"/>
              </w:rPr>
              <w:t xml:space="preserve">Расходы по выполнению мероприятий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технологическому присоединению,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Вспомогательные материалы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Энергия на хозяйственные нужды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Оплата труда ППП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Отчисления на страховые взносы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Прочие расходы, всего, в том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работы и услуги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производственного характера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6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1.5.2.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налоги и сборы, уменьшающие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налогооблагаемую базу на прибыль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организаций, всего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6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1.5.3.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работы и услуги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непроизводственного характера, 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т.ч.: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1.5.3.1.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услуги связи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1.5.3.2.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на охрану и пожарную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безопасность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6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1.5.3.3.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на информационное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обслуживание, консультационные и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юридические услуги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1.5.3.4.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плата за аренду имущества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1.5.3.5.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другие прочие расходы, связанные с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производством и реализацией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Внереализационные расходы, всего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1.6.1.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расходы на услуги банков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1.6.2.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за пользование кредитом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1.6.3.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прочие обоснованные расходы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6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1.6.4.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денежные выплаты социального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характера (по Коллективному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договору)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1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на строительство объектов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электросетевого хозяйства - от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существующих объектов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электросетевого хозяйства до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присоединяемых энергопринимающих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устройств и (или) объектов         </w:t>
            </w:r>
          </w:p>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электроэнергетики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bookmarkStart w:id="44" w:name="Par449"/>
            <w:bookmarkEnd w:id="44"/>
            <w:r>
              <w:rPr>
                <w:rFonts w:ascii="Courier New" w:hAnsi="Courier New" w:cs="Courier New"/>
                <w:sz w:val="20"/>
                <w:szCs w:val="20"/>
              </w:rPr>
              <w:t xml:space="preserve">Выпадающие доходы/экономия средств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r w:rsidR="00B47F99">
        <w:tblPrEx>
          <w:tblCellMar>
            <w:top w:w="0" w:type="dxa"/>
            <w:bottom w:w="0" w:type="dxa"/>
          </w:tblCellMar>
        </w:tblPrEx>
        <w:trPr>
          <w:trHeight w:val="400"/>
          <w:tblCellSpacing w:w="5" w:type="nil"/>
        </w:trPr>
        <w:tc>
          <w:tcPr>
            <w:tcW w:w="1404"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
        </w:tc>
        <w:tc>
          <w:tcPr>
            <w:tcW w:w="4329"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Необходимая валовая выручка (сумма </w:t>
            </w:r>
          </w:p>
          <w:p w:rsidR="00B47F99" w:rsidRDefault="00B47F99">
            <w:pPr>
              <w:widowControl w:val="0"/>
              <w:autoSpaceDE w:val="0"/>
              <w:autoSpaceDN w:val="0"/>
              <w:adjustRightInd w:val="0"/>
              <w:spacing w:after="0" w:line="240" w:lineRule="auto"/>
              <w:rPr>
                <w:rFonts w:ascii="Courier New" w:hAnsi="Courier New" w:cs="Courier New"/>
                <w:sz w:val="20"/>
                <w:szCs w:val="20"/>
              </w:rPr>
            </w:pPr>
            <w:hyperlink w:anchor="Par389" w:history="1">
              <w:r>
                <w:rPr>
                  <w:rFonts w:ascii="Courier New" w:hAnsi="Courier New" w:cs="Courier New"/>
                  <w:color w:val="0000FF"/>
                  <w:sz w:val="20"/>
                  <w:szCs w:val="20"/>
                </w:rPr>
                <w:t>п. 1</w:t>
              </w:r>
            </w:hyperlink>
            <w:r>
              <w:rPr>
                <w:rFonts w:ascii="Courier New" w:hAnsi="Courier New" w:cs="Courier New"/>
                <w:sz w:val="20"/>
                <w:szCs w:val="20"/>
              </w:rPr>
              <w:t xml:space="preserve"> - </w:t>
            </w:r>
            <w:hyperlink w:anchor="Par449" w:history="1">
              <w:r>
                <w:rPr>
                  <w:rFonts w:ascii="Courier New" w:hAnsi="Courier New" w:cs="Courier New"/>
                  <w:color w:val="0000FF"/>
                  <w:sz w:val="20"/>
                  <w:szCs w:val="20"/>
                </w:rPr>
                <w:t>3</w:t>
              </w:r>
            </w:hyperlink>
            <w:r>
              <w:rPr>
                <w:rFonts w:ascii="Courier New" w:hAnsi="Courier New" w:cs="Courier New"/>
                <w:sz w:val="20"/>
                <w:szCs w:val="20"/>
              </w:rPr>
              <w:t xml:space="preserve">)                          </w:t>
            </w:r>
          </w:p>
        </w:tc>
        <w:tc>
          <w:tcPr>
            <w:tcW w:w="1638"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c>
          <w:tcPr>
            <w:tcW w:w="1755" w:type="dxa"/>
            <w:tcBorders>
              <w:left w:val="single" w:sz="8" w:space="0" w:color="auto"/>
              <w:bottom w:val="single" w:sz="8" w:space="0" w:color="auto"/>
              <w:right w:val="single" w:sz="8" w:space="0" w:color="auto"/>
            </w:tcBorders>
          </w:tcPr>
          <w:p w:rsidR="00B47F99" w:rsidRDefault="00B47F99">
            <w:pPr>
              <w:widowControl w:val="0"/>
              <w:autoSpaceDE w:val="0"/>
              <w:autoSpaceDN w:val="0"/>
              <w:adjustRightInd w:val="0"/>
              <w:spacing w:after="0" w:line="240" w:lineRule="auto"/>
              <w:rPr>
                <w:rFonts w:ascii="Courier New" w:hAnsi="Courier New" w:cs="Courier New"/>
                <w:sz w:val="20"/>
                <w:szCs w:val="20"/>
              </w:rPr>
            </w:pPr>
          </w:p>
        </w:tc>
      </w:tr>
    </w:tbl>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autoSpaceDE w:val="0"/>
        <w:autoSpaceDN w:val="0"/>
        <w:adjustRightInd w:val="0"/>
        <w:spacing w:after="0" w:line="240" w:lineRule="auto"/>
        <w:ind w:firstLine="540"/>
        <w:jc w:val="both"/>
        <w:rPr>
          <w:rFonts w:ascii="Calibri" w:hAnsi="Calibri" w:cs="Calibri"/>
        </w:rPr>
      </w:pPr>
    </w:p>
    <w:p w:rsidR="00B47F99" w:rsidRDefault="00B47F9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D76B6" w:rsidRDefault="005D76B6"/>
    <w:sectPr w:rsidR="005D76B6" w:rsidSect="00C32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7F99"/>
    <w:rsid w:val="005D76B6"/>
    <w:rsid w:val="00B47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47F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D592BFAC72090E477B8F046CCCF526AB9D6068A8AE938279C0C2E93Ax9M4I" TargetMode="External"/><Relationship Id="rId18" Type="http://schemas.openxmlformats.org/officeDocument/2006/relationships/hyperlink" Target="consultantplus://offline/ref=10D592BFAC72090E477B8F046CCCF526AB9C656DAEAE938279C0C2E93A9438FA304353873D9A7357x5M7I" TargetMode="External"/><Relationship Id="rId26" Type="http://schemas.openxmlformats.org/officeDocument/2006/relationships/image" Target="media/image1.wmf"/><Relationship Id="rId39" Type="http://schemas.openxmlformats.org/officeDocument/2006/relationships/image" Target="media/image14.wmf"/><Relationship Id="rId21" Type="http://schemas.openxmlformats.org/officeDocument/2006/relationships/hyperlink" Target="consultantplus://offline/ref=10D592BFAC72090E477B8F046CCCF526AB9C656DA9A1938279C0C2E93A9438FA304353823Ex9MCI" TargetMode="External"/><Relationship Id="rId34" Type="http://schemas.openxmlformats.org/officeDocument/2006/relationships/image" Target="media/image9.wmf"/><Relationship Id="rId42" Type="http://schemas.openxmlformats.org/officeDocument/2006/relationships/image" Target="media/image17.wmf"/><Relationship Id="rId47" Type="http://schemas.openxmlformats.org/officeDocument/2006/relationships/image" Target="media/image22.wmf"/><Relationship Id="rId50" Type="http://schemas.openxmlformats.org/officeDocument/2006/relationships/image" Target="media/image25.wmf"/><Relationship Id="rId55" Type="http://schemas.openxmlformats.org/officeDocument/2006/relationships/image" Target="media/image30.wmf"/><Relationship Id="rId7" Type="http://schemas.openxmlformats.org/officeDocument/2006/relationships/hyperlink" Target="consultantplus://offline/ref=10D592BFAC72090E477B8F046CCCF526AB9C656DA9A1938279C0C2E93A9438FA304353873D9A7552x5M7I" TargetMode="External"/><Relationship Id="rId12" Type="http://schemas.openxmlformats.org/officeDocument/2006/relationships/hyperlink" Target="consultantplus://offline/ref=10D592BFAC72090E477B8F046CCCF526AB9C656DA9A1938279C0C2E93A9438FA304353873D9A7552x5M7I" TargetMode="External"/><Relationship Id="rId17" Type="http://schemas.openxmlformats.org/officeDocument/2006/relationships/hyperlink" Target="consultantplus://offline/ref=10D592BFAC72090E477B8F046CCCF526AB9C656DAEAE938279C0C2E93A9438FA304353873D9A7251x5M6I" TargetMode="External"/><Relationship Id="rId25" Type="http://schemas.openxmlformats.org/officeDocument/2006/relationships/hyperlink" Target="consultantplus://offline/ref=10D592BFAC72090E477B8F046CCCF526AB9C656DA9A1938279C0C2E93A9438FA304353873D9A7A57x5M5I" TargetMode="Externa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image" Target="media/image21.wmf"/><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0D592BFAC72090E477B8F046CCCF526AB9D6068A8AE938279C0C2E93A9438FA304353873D9A7A56x5M1I" TargetMode="External"/><Relationship Id="rId20" Type="http://schemas.openxmlformats.org/officeDocument/2006/relationships/hyperlink" Target="consultantplus://offline/ref=10D592BFAC72090E477B8F046CCCF526AB9C656DA9A1938279C0C2E93A9438FA304353873D9A7552x5M7I" TargetMode="External"/><Relationship Id="rId29" Type="http://schemas.openxmlformats.org/officeDocument/2006/relationships/image" Target="media/image4.wmf"/><Relationship Id="rId41" Type="http://schemas.openxmlformats.org/officeDocument/2006/relationships/image" Target="media/image16.wmf"/><Relationship Id="rId54" Type="http://schemas.openxmlformats.org/officeDocument/2006/relationships/image" Target="media/image29.wmf"/><Relationship Id="rId1" Type="http://schemas.openxmlformats.org/officeDocument/2006/relationships/styles" Target="styles.xml"/><Relationship Id="rId6" Type="http://schemas.openxmlformats.org/officeDocument/2006/relationships/hyperlink" Target="consultantplus://offline/ref=10D592BFAC72090E477B8F046CCCF526AB9C656DA9A2938279C0C2E93Ax9M4I" TargetMode="External"/><Relationship Id="rId11" Type="http://schemas.openxmlformats.org/officeDocument/2006/relationships/hyperlink" Target="consultantplus://offline/ref=10D592BFAC72090E477B8F046CCCF526AB9C656DAEAE938279C0C2E93Ax9M4I" TargetMode="External"/><Relationship Id="rId24" Type="http://schemas.openxmlformats.org/officeDocument/2006/relationships/hyperlink" Target="consultantplus://offline/ref=10D592BFAC72090E477B8F046CCCF526AB9C656DA9A1938279C0C2E93A9438FA304353873D9A755Dx5M2I" TargetMode="Externa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image" Target="media/image33.wmf"/><Relationship Id="rId5" Type="http://schemas.openxmlformats.org/officeDocument/2006/relationships/hyperlink" Target="consultantplus://offline/ref=10D592BFAC72090E477B8F046CCCF526AB9C6469AFA6938279C0C2E93A9438FA30435387x3M5I" TargetMode="External"/><Relationship Id="rId15" Type="http://schemas.openxmlformats.org/officeDocument/2006/relationships/hyperlink" Target="consultantplus://offline/ref=10D592BFAC72090E477B8F046CCCF526AB9C656DA9A1938279C0C2E93Ax9M4I" TargetMode="External"/><Relationship Id="rId23" Type="http://schemas.openxmlformats.org/officeDocument/2006/relationships/hyperlink" Target="consultantplus://offline/ref=10D592BFAC72090E477B8F046CCCF526AB9C656DAEAE938279C0C2E93A9438FA304353873D9A7251x5M6I" TargetMode="External"/><Relationship Id="rId28" Type="http://schemas.openxmlformats.org/officeDocument/2006/relationships/image" Target="media/image3.wmf"/><Relationship Id="rId36" Type="http://schemas.openxmlformats.org/officeDocument/2006/relationships/image" Target="media/image11.wmf"/><Relationship Id="rId49" Type="http://schemas.openxmlformats.org/officeDocument/2006/relationships/image" Target="media/image24.wmf"/><Relationship Id="rId57" Type="http://schemas.openxmlformats.org/officeDocument/2006/relationships/image" Target="media/image32.wmf"/><Relationship Id="rId10" Type="http://schemas.openxmlformats.org/officeDocument/2006/relationships/hyperlink" Target="consultantplus://offline/ref=10D592BFAC72090E477B8F046CCCF526AB9D6068A8AE938279C0C2E93Ax9M4I" TargetMode="External"/><Relationship Id="rId19" Type="http://schemas.openxmlformats.org/officeDocument/2006/relationships/hyperlink" Target="consultantplus://offline/ref=10D592BFAC72090E477B8F046CCCF526AB9C656DA9A1938279C0C2E93A9438FA304353873D9A7A5Dx5M6I" TargetMode="External"/><Relationship Id="rId31" Type="http://schemas.openxmlformats.org/officeDocument/2006/relationships/image" Target="media/image6.wmf"/><Relationship Id="rId44" Type="http://schemas.openxmlformats.org/officeDocument/2006/relationships/image" Target="media/image19.wmf"/><Relationship Id="rId52" Type="http://schemas.openxmlformats.org/officeDocument/2006/relationships/image" Target="media/image27.wmf"/><Relationship Id="rId60" Type="http://schemas.openxmlformats.org/officeDocument/2006/relationships/theme" Target="theme/theme1.xml"/><Relationship Id="rId4" Type="http://schemas.openxmlformats.org/officeDocument/2006/relationships/hyperlink" Target="consultantplus://offline/ref=10D592BFAC72090E477B8F046CCCF526AB9D6068A8AE938279C0C2E93A9438FA304353873D9B7357x5M1I" TargetMode="External"/><Relationship Id="rId9" Type="http://schemas.openxmlformats.org/officeDocument/2006/relationships/hyperlink" Target="consultantplus://offline/ref=10D592BFAC72090E477B8F046CCCF526AB986D6EABA1938279C0C2E93Ax9M4I" TargetMode="External"/><Relationship Id="rId14" Type="http://schemas.openxmlformats.org/officeDocument/2006/relationships/hyperlink" Target="consultantplus://offline/ref=10D592BFAC72090E477B8F046CCCF526AB9C656DAEAE938279C0C2E93A9438FA304353873D9A7251x5M6I" TargetMode="External"/><Relationship Id="rId22" Type="http://schemas.openxmlformats.org/officeDocument/2006/relationships/hyperlink" Target="consultantplus://offline/ref=10D592BFAC72090E477B8F046CCCF526AB9C656DA9A1938279C0C2E93A9438FA304353873D9B725Dx5M1I"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image" Target="media/image31.wmf"/><Relationship Id="rId8" Type="http://schemas.openxmlformats.org/officeDocument/2006/relationships/hyperlink" Target="consultantplus://offline/ref=10D592BFAC72090E477B8F046CCCF526AB986D6EACAF938279C0C2E93Ax9M4I" TargetMode="External"/><Relationship Id="rId51" Type="http://schemas.openxmlformats.org/officeDocument/2006/relationships/image" Target="media/image26.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8244</Words>
  <Characters>46995</Characters>
  <Application>Microsoft Office Word</Application>
  <DocSecurity>0</DocSecurity>
  <Lines>391</Lines>
  <Paragraphs>110</Paragraphs>
  <ScaleCrop>false</ScaleCrop>
  <Company>Kubanenergo</Company>
  <LinksUpToDate>false</LinksUpToDate>
  <CharactersWithSpaces>55129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koktashts</dc:creator>
  <cp:keywords/>
  <dc:description/>
  <cp:lastModifiedBy>koktashts</cp:lastModifiedBy>
  <cp:revision>1</cp:revision>
  <dcterms:created xsi:type="dcterms:W3CDTF">2013-09-25T08:12:00Z</dcterms:created>
  <dcterms:modified xsi:type="dcterms:W3CDTF">2013-09-25T08:13:00Z</dcterms:modified>
</cp:coreProperties>
</file>