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F99" w:rsidRDefault="00B47F99">
      <w:pPr>
        <w:widowControl w:val="0"/>
        <w:autoSpaceDE w:val="0"/>
        <w:autoSpaceDN w:val="0"/>
        <w:adjustRightInd w:val="0"/>
        <w:spacing w:after="0" w:line="240" w:lineRule="auto"/>
        <w:jc w:val="both"/>
        <w:outlineLvl w:val="0"/>
        <w:rPr>
          <w:rFonts w:ascii="Calibri" w:hAnsi="Calibri" w:cs="Calibri"/>
        </w:rPr>
      </w:pPr>
    </w:p>
    <w:p w:rsidR="00B47F99" w:rsidRDefault="00B47F99">
      <w:pPr>
        <w:widowControl w:val="0"/>
        <w:autoSpaceDE w:val="0"/>
        <w:autoSpaceDN w:val="0"/>
        <w:adjustRightInd w:val="0"/>
        <w:spacing w:after="0" w:line="240" w:lineRule="auto"/>
        <w:outlineLvl w:val="0"/>
        <w:rPr>
          <w:rFonts w:ascii="Calibri" w:hAnsi="Calibri" w:cs="Calibri"/>
        </w:rPr>
      </w:pPr>
      <w:bookmarkStart w:id="0" w:name="Par1"/>
      <w:bookmarkEnd w:id="0"/>
      <w:r>
        <w:rPr>
          <w:rFonts w:ascii="Calibri" w:hAnsi="Calibri" w:cs="Calibri"/>
        </w:rPr>
        <w:t>Зарегистрировано в Минюсте России 28 ноября 2012 г. N 25948</w:t>
      </w:r>
    </w:p>
    <w:p w:rsidR="00B47F99" w:rsidRDefault="00B47F99">
      <w:pPr>
        <w:widowControl w:val="0"/>
        <w:pBdr>
          <w:bottom w:val="single" w:sz="6" w:space="0" w:color="auto"/>
        </w:pBdr>
        <w:autoSpaceDE w:val="0"/>
        <w:autoSpaceDN w:val="0"/>
        <w:adjustRightInd w:val="0"/>
        <w:spacing w:after="0" w:line="240" w:lineRule="auto"/>
        <w:rPr>
          <w:rFonts w:ascii="Calibri" w:hAnsi="Calibri" w:cs="Calibri"/>
          <w:sz w:val="5"/>
          <w:szCs w:val="5"/>
        </w:rPr>
      </w:pPr>
    </w:p>
    <w:p w:rsidR="00B47F99" w:rsidRDefault="00B47F99">
      <w:pPr>
        <w:widowControl w:val="0"/>
        <w:autoSpaceDE w:val="0"/>
        <w:autoSpaceDN w:val="0"/>
        <w:adjustRightInd w:val="0"/>
        <w:spacing w:after="0" w:line="240" w:lineRule="auto"/>
        <w:rPr>
          <w:rFonts w:ascii="Calibri" w:hAnsi="Calibri" w:cs="Calibri"/>
        </w:rPr>
      </w:pPr>
    </w:p>
    <w:p w:rsidR="00B47F99" w:rsidRDefault="00B47F9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ФЕДЕРАЛЬНАЯ СЛУЖБА ПО ТАРИФАМИ</w:t>
      </w:r>
    </w:p>
    <w:p w:rsidR="00B47F99" w:rsidRDefault="00B47F99">
      <w:pPr>
        <w:widowControl w:val="0"/>
        <w:autoSpaceDE w:val="0"/>
        <w:autoSpaceDN w:val="0"/>
        <w:adjustRightInd w:val="0"/>
        <w:spacing w:after="0" w:line="240" w:lineRule="auto"/>
        <w:jc w:val="center"/>
        <w:rPr>
          <w:rFonts w:ascii="Calibri" w:hAnsi="Calibri" w:cs="Calibri"/>
          <w:b/>
          <w:bCs/>
        </w:rPr>
      </w:pPr>
    </w:p>
    <w:p w:rsidR="00B47F99" w:rsidRDefault="00B47F9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B47F99" w:rsidRDefault="00B47F9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11 сентября 2012 г. N 209-э/1</w:t>
      </w:r>
    </w:p>
    <w:p w:rsidR="00B47F99" w:rsidRDefault="00B47F99">
      <w:pPr>
        <w:widowControl w:val="0"/>
        <w:autoSpaceDE w:val="0"/>
        <w:autoSpaceDN w:val="0"/>
        <w:adjustRightInd w:val="0"/>
        <w:spacing w:after="0" w:line="240" w:lineRule="auto"/>
        <w:jc w:val="center"/>
        <w:rPr>
          <w:rFonts w:ascii="Calibri" w:hAnsi="Calibri" w:cs="Calibri"/>
          <w:b/>
          <w:bCs/>
        </w:rPr>
      </w:pPr>
    </w:p>
    <w:p w:rsidR="00B47F99" w:rsidRDefault="00B47F9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МЕТОДИЧЕСКИХ УКАЗАНИЙ</w:t>
      </w:r>
    </w:p>
    <w:p w:rsidR="00B47F99" w:rsidRDefault="00B47F9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 ОПРЕДЕЛЕНИЮ РАЗМЕРА ПЛАТЫ ЗА ТЕХНОЛОГИЧЕСКОЕ</w:t>
      </w:r>
    </w:p>
    <w:p w:rsidR="00B47F99" w:rsidRDefault="00B47F9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ПРИСОЕДИНЕНИЕ К ЭЛЕКТРИЧЕСКИМ СЕТЯМ</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4" w:history="1">
        <w:r>
          <w:rPr>
            <w:rFonts w:ascii="Calibri" w:hAnsi="Calibri" w:cs="Calibri"/>
            <w:color w:val="0000FF"/>
          </w:rPr>
          <w:t>законом</w:t>
        </w:r>
      </w:hyperlink>
      <w:r>
        <w:rPr>
          <w:rFonts w:ascii="Calibri" w:hAnsi="Calibri" w:cs="Calibri"/>
        </w:rPr>
        <w:t xml:space="preserve"> от 26 марта 2003 г. N 35-ФЗ "Об электроэнергетике" (Собрание законодательства Российской Федерации, 2003, N 13, ст. 1177; 2004, N 35, ст. 3607; 2005, N 1 (часть I), ст. 37; 2006, N 52 (часть I), ст. 5498; 2007, N 45, ст. 5427; 2008, N 29 (часть I), ст. 3418; N 52 (часть I), ст. 6236; 2009, N 48, ст. 5711; 2010, N 11, ст. 1175; N 31, ст. 4156, N 31, ст. 4157, N 31, ст. 4158, N 31, ст. 4160; 2011, N 1, ст. 13; N 7, ст. 905; N 11, ст. 1502; N 23, ст. 3263; N 30 (часть I), ст. 4590; 4596; N 50, ст. 7336, 7343; 2012, N 26, ст. 3446; N 27, ст. 3587), </w:t>
      </w:r>
      <w:hyperlink r:id="rId5" w:history="1">
        <w:r>
          <w:rPr>
            <w:rFonts w:ascii="Calibri" w:hAnsi="Calibri" w:cs="Calibri"/>
            <w:color w:val="0000FF"/>
          </w:rPr>
          <w:t>Положением</w:t>
        </w:r>
      </w:hyperlink>
      <w:r>
        <w:rPr>
          <w:rFonts w:ascii="Calibri" w:hAnsi="Calibri" w:cs="Calibri"/>
        </w:rPr>
        <w:t xml:space="preserve"> о Федеральной службе по тарифам, утвержденным постановлением Правительства Российской Федерации от 30 июня 2004 г. N 332 (Собрание законодательства Российской Федерации, 2004, N 29, ст. 3049; 2006, N 3, ст. 301; N 23, ст. 2522; N 48, ст. 5032; N 50, ст. 5354; 2007, N 16, ст. 1912; N 25, ст. 3039; N 32, ст. 4145; 2008, N 7, ст. 597; N 17, ст. 1897; N 23, ст. 2719; N 38, ст. 4309; N 46, ст. 5337; 2009, N 1, ст. 142; N 3, ст. 378; N 6, ст. 738; N 9, ст. 1119; N 18 (часть II), ст. 2249; N 33, ст. 4086; 2010, N 9, ст. 960; N 13, ст. 1514; N 25, ст. 3169; N 26, ст. 3350; N 30, ст. 4096; N 45, ст. 5851; 2011, N 14, ст. 1935; N 32, ст. 4831; N 42, ст. 5925), </w:t>
      </w:r>
      <w:hyperlink r:id="rId6"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(Собрание законодательства Российской Федерации, 2012, N 23, ст. 3008), </w:t>
      </w:r>
      <w:hyperlink r:id="rId7" w:history="1">
        <w:r>
          <w:rPr>
            <w:rFonts w:ascii="Calibri" w:hAnsi="Calibri" w:cs="Calibri"/>
            <w:color w:val="0000FF"/>
          </w:rPr>
          <w:t>Правилами</w:t>
        </w:r>
      </w:hyperlink>
      <w:r>
        <w:rPr>
          <w:rFonts w:ascii="Calibri" w:hAnsi="Calibri" w:cs="Calibri"/>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(Собрание законодательства Российской Федерации, 2004, N 52 (часть II), ст. 5525; 2006, N 37, ст. 3876; 2007, N 14, ст. 1687; N 31, ст. 4100; 2009, N 8, ст. 979; N 9, ст. 1103; N 17, ст. 2088; N 25, ст. 3073; N 41, ст. 4771; 2010, N 12, ст. 1333; N 21, ст. 2607; N 25, ст. 3175; N 40, ст. 5086; 2011, N 10, ст. 1406; 2012, N 4, ст. 504; N 23, ст. 3008; N 41, ст. 5636), приказываю:</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w:t>
      </w:r>
      <w:hyperlink w:anchor="Par30" w:history="1">
        <w:r>
          <w:rPr>
            <w:rFonts w:ascii="Calibri" w:hAnsi="Calibri" w:cs="Calibri"/>
            <w:color w:val="0000FF"/>
          </w:rPr>
          <w:t>Методические указания</w:t>
        </w:r>
      </w:hyperlink>
      <w:r>
        <w:rPr>
          <w:rFonts w:ascii="Calibri" w:hAnsi="Calibri" w:cs="Calibri"/>
        </w:rPr>
        <w:t xml:space="preserve"> по определению размера платы за технологическое присоединение к электрическим сетям согласно приложению к приказу.</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Признать утратившими силу приказы ФСТ России:</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от 30.11.2010 </w:t>
      </w:r>
      <w:hyperlink r:id="rId8" w:history="1">
        <w:r>
          <w:rPr>
            <w:rFonts w:ascii="Calibri" w:hAnsi="Calibri" w:cs="Calibri"/>
            <w:color w:val="0000FF"/>
          </w:rPr>
          <w:t>N 365-э/5</w:t>
        </w:r>
      </w:hyperlink>
      <w:r>
        <w:rPr>
          <w:rFonts w:ascii="Calibri" w:hAnsi="Calibri" w:cs="Calibri"/>
        </w:rPr>
        <w:t xml:space="preserve"> "Об утверждении Методических указаний по определению размера платы за технологическое присоединение к электрическим сетям" (зарегистрирован Минюстом России 22 декабря 2010 года, регистрационный N 19341);</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от 09.08.2011 </w:t>
      </w:r>
      <w:hyperlink r:id="rId9" w:history="1">
        <w:r>
          <w:rPr>
            <w:rFonts w:ascii="Calibri" w:hAnsi="Calibri" w:cs="Calibri"/>
            <w:color w:val="0000FF"/>
          </w:rPr>
          <w:t>N 190-э/1</w:t>
        </w:r>
      </w:hyperlink>
      <w:r>
        <w:rPr>
          <w:rFonts w:ascii="Calibri" w:hAnsi="Calibri" w:cs="Calibri"/>
        </w:rPr>
        <w:t xml:space="preserve"> "О внесении изменений в Методические указания по определению размера платы за технологическое присоединение к электрическим сетям, утвержденные приказом Федеральной службы по тарифам от 30 ноября 2010 года N 365-э/5" (зарегистрирован Минюстом России 7 сентября 2011 года, регистрационный N 21751).</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Настоящий приказ вступает в силу в установленном порядке.</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jc w:val="right"/>
        <w:rPr>
          <w:rFonts w:ascii="Calibri" w:hAnsi="Calibri" w:cs="Calibri"/>
        </w:rPr>
      </w:pPr>
      <w:r>
        <w:rPr>
          <w:rFonts w:ascii="Calibri" w:hAnsi="Calibri" w:cs="Calibri"/>
        </w:rPr>
        <w:t>Руководитель</w:t>
      </w:r>
    </w:p>
    <w:p w:rsidR="00B47F99" w:rsidRDefault="00B47F99">
      <w:pPr>
        <w:widowControl w:val="0"/>
        <w:autoSpaceDE w:val="0"/>
        <w:autoSpaceDN w:val="0"/>
        <w:adjustRightInd w:val="0"/>
        <w:spacing w:after="0" w:line="240" w:lineRule="auto"/>
        <w:jc w:val="right"/>
        <w:rPr>
          <w:rFonts w:ascii="Calibri" w:hAnsi="Calibri" w:cs="Calibri"/>
        </w:rPr>
      </w:pPr>
      <w:r>
        <w:rPr>
          <w:rFonts w:ascii="Calibri" w:hAnsi="Calibri" w:cs="Calibri"/>
        </w:rPr>
        <w:t>Федеральной службы по тарифам</w:t>
      </w:r>
    </w:p>
    <w:p w:rsidR="00B47F99" w:rsidRDefault="00B47F99">
      <w:pPr>
        <w:widowControl w:val="0"/>
        <w:autoSpaceDE w:val="0"/>
        <w:autoSpaceDN w:val="0"/>
        <w:adjustRightInd w:val="0"/>
        <w:spacing w:after="0" w:line="240" w:lineRule="auto"/>
        <w:jc w:val="right"/>
        <w:rPr>
          <w:rFonts w:ascii="Calibri" w:hAnsi="Calibri" w:cs="Calibri"/>
        </w:rPr>
      </w:pPr>
      <w:r>
        <w:rPr>
          <w:rFonts w:ascii="Calibri" w:hAnsi="Calibri" w:cs="Calibri"/>
        </w:rPr>
        <w:t>С.НОВИКОВ</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jc w:val="right"/>
        <w:outlineLvl w:val="0"/>
        <w:rPr>
          <w:rFonts w:ascii="Calibri" w:hAnsi="Calibri" w:cs="Calibri"/>
        </w:rPr>
      </w:pPr>
      <w:bookmarkStart w:id="1" w:name="Par28"/>
      <w:bookmarkEnd w:id="1"/>
      <w:r>
        <w:rPr>
          <w:rFonts w:ascii="Calibri" w:hAnsi="Calibri" w:cs="Calibri"/>
        </w:rPr>
        <w:t>Приложение</w:t>
      </w:r>
    </w:p>
    <w:p w:rsidR="00B47F99" w:rsidRDefault="00B47F99">
      <w:pPr>
        <w:widowControl w:val="0"/>
        <w:autoSpaceDE w:val="0"/>
        <w:autoSpaceDN w:val="0"/>
        <w:adjustRightInd w:val="0"/>
        <w:spacing w:after="0" w:line="240" w:lineRule="auto"/>
        <w:jc w:val="right"/>
        <w:rPr>
          <w:rFonts w:ascii="Calibri" w:hAnsi="Calibri" w:cs="Calibri"/>
        </w:rPr>
      </w:pPr>
    </w:p>
    <w:p w:rsidR="00B47F99" w:rsidRDefault="00B47F99">
      <w:pPr>
        <w:widowControl w:val="0"/>
        <w:autoSpaceDE w:val="0"/>
        <w:autoSpaceDN w:val="0"/>
        <w:adjustRightInd w:val="0"/>
        <w:spacing w:after="0" w:line="240" w:lineRule="auto"/>
        <w:jc w:val="center"/>
        <w:rPr>
          <w:rFonts w:ascii="Calibri" w:hAnsi="Calibri" w:cs="Calibri"/>
          <w:b/>
          <w:bCs/>
        </w:rPr>
      </w:pPr>
      <w:bookmarkStart w:id="2" w:name="Par30"/>
      <w:bookmarkEnd w:id="2"/>
      <w:r>
        <w:rPr>
          <w:rFonts w:ascii="Calibri" w:hAnsi="Calibri" w:cs="Calibri"/>
          <w:b/>
          <w:bCs/>
        </w:rPr>
        <w:t>МЕТОДИЧЕСКИЕ УКАЗАНИЯ</w:t>
      </w:r>
    </w:p>
    <w:p w:rsidR="00B47F99" w:rsidRDefault="00B47F9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 ОПРЕДЕЛЕНИЮ РАЗМЕРА ПЛАТЫ ЗА ТЕХНОЛОГИЧЕСКОЕ</w:t>
      </w:r>
    </w:p>
    <w:p w:rsidR="00B47F99" w:rsidRDefault="00B47F9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ПРИСОЕДИНЕНИЕ К ЭЛЕКТРИЧЕСКИМ СЕТЯМ</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jc w:val="center"/>
        <w:outlineLvl w:val="1"/>
        <w:rPr>
          <w:rFonts w:ascii="Calibri" w:hAnsi="Calibri" w:cs="Calibri"/>
        </w:rPr>
      </w:pPr>
      <w:bookmarkStart w:id="3" w:name="Par34"/>
      <w:bookmarkEnd w:id="3"/>
      <w:r>
        <w:rPr>
          <w:rFonts w:ascii="Calibri" w:hAnsi="Calibri" w:cs="Calibri"/>
        </w:rPr>
        <w:t>I. Общие положения</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Настоящие Методические указания по определению размера платы за технологическое присоединение к электрическим сетям (далее - Методические указания) разработаны в соответствии с Федеральным </w:t>
      </w:r>
      <w:hyperlink r:id="rId10" w:history="1">
        <w:r>
          <w:rPr>
            <w:rFonts w:ascii="Calibri" w:hAnsi="Calibri" w:cs="Calibri"/>
            <w:color w:val="0000FF"/>
          </w:rPr>
          <w:t>законом</w:t>
        </w:r>
      </w:hyperlink>
      <w:r>
        <w:rPr>
          <w:rFonts w:ascii="Calibri" w:hAnsi="Calibri" w:cs="Calibri"/>
        </w:rPr>
        <w:t xml:space="preserve"> от 26 марта 2003 г. N 35-ФЗ "Об электроэнергетике" (Собрание законодательства Российской Федерации, 2003, N 13, ст. 1177; 2004, N 35, ст. 3607; 2005, N 1 (часть I), ст. 37; 2006, N 52 (часть I), ст. 5498; 2007, N 45, ст. 5427; 2008, N 29 (часть I), ст. 3418; N 52 (часть I), ст. 6236; 2009, N 48, ст. 5711; 2010, N 11, ст. 1175; N 31, ст. 4156, ст. 4157; N 31, ст. 4158; ст. 4160; 2011, N 1, ст. 13; N 7, ст. 905; N 11, ст. 1502; N 23, ст. 3263; N 30 (часть I), ст. 4590; N 30 (часть I), ст. 4596; N 50, ст. 7336; N 50, ст. 7343; 2012, N 26, ст. 3446; N 27, ст. 3587), </w:t>
      </w:r>
      <w:hyperlink r:id="rId11"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29 декабря 2011 года N 1178 "О ценообразовании в области регулируемых цен (тарифов) в электроэнергетике" (Собрание законодательства Российской Федерации, 2012, N 4, ст. 504; N 16, ст. 1883; N 20, ст. 2539; N 23, ст. 3008; N 24, ст. 3185; N 28, ст. 3897; N 41, ст. 5636), </w:t>
      </w:r>
      <w:hyperlink r:id="rId12" w:history="1">
        <w:r>
          <w:rPr>
            <w:rFonts w:ascii="Calibri" w:hAnsi="Calibri" w:cs="Calibri"/>
            <w:color w:val="0000FF"/>
          </w:rPr>
          <w:t>Правилами</w:t>
        </w:r>
      </w:hyperlink>
      <w:r>
        <w:rPr>
          <w:rFonts w:ascii="Calibri" w:hAnsi="Calibri" w:cs="Calibri"/>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технологического присоединения), утвержденными постановлением Правительства Российской Федерации от 27 декабря 2004 г. N 861 (Собрание законодательства Российской Федерации, 2004, N 52 (часть II), ст. 5525; 2006, N 37, ст. 3876; 2007, N 14, ст. 1687, N 31, ст. 4100; 2009, N 8, ст. 979; N 9, ст. 1103; N 17, ст. 2088; N 25, ст. 3073; N 41, ст. 4771; 2010, N 12, ст. 1333; N 21, ст. 2607; N 25, ст. 3175; N 40, ст. 5086; 2011, N 10, ст. 1406; 2012, N 4, ст. 504; N 23, ст. 3008; N 41, ст. 5636).</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Методические указания определяют основные положения по расчету размера платы за технологическое присоединение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(далее - Устройства) к объектам электросетевого хозяйства (далее - плата за технологическое присоединение) сетевых организаций, и предназначены для использования Федеральной службой по тарифам (далее - Служба), органами исполнительной власти субъектов Российской Федерации в области государственного регулирования тарифов, сетевыми организациями, а также лицами, обратившимися к сетевым организациям с заявками на технологическое присоединение Устройств к объектам электросетевого хозяйства сетевых организаций (далее - Заявители).</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Понятия, используемые в Методических указаниях, соответствуют определениям, данным в Федеральном </w:t>
      </w:r>
      <w:hyperlink r:id="rId13" w:history="1">
        <w:r>
          <w:rPr>
            <w:rFonts w:ascii="Calibri" w:hAnsi="Calibri" w:cs="Calibri"/>
            <w:color w:val="0000FF"/>
          </w:rPr>
          <w:t>законе</w:t>
        </w:r>
      </w:hyperlink>
      <w:r>
        <w:rPr>
          <w:rFonts w:ascii="Calibri" w:hAnsi="Calibri" w:cs="Calibri"/>
        </w:rPr>
        <w:t xml:space="preserve"> от 26 марта 2003 г. N 35-ФЗ "Об электроэнергетике", </w:t>
      </w:r>
      <w:hyperlink r:id="rId14" w:history="1">
        <w:r>
          <w:rPr>
            <w:rFonts w:ascii="Calibri" w:hAnsi="Calibri" w:cs="Calibri"/>
            <w:color w:val="0000FF"/>
          </w:rPr>
          <w:t>Основах</w:t>
        </w:r>
      </w:hyperlink>
      <w:r>
        <w:rPr>
          <w:rFonts w:ascii="Calibri" w:hAnsi="Calibri" w:cs="Calibri"/>
        </w:rPr>
        <w:t xml:space="preserve"> ценообразования в области регулируемых цен (тарифов) в электроэнергетике (далее - Основы ценообразования), утвержденных постановлением Правительства Российской Федерации от 29 декабря 2011 года N 1178" (Собрание законодательства Российской Федерации, 2012, N 4, ст. 504; N 16, ст. 1883; N 20, ст. 2539; N 23, ст. 3008; N 24, ст. 3185; N 28, ст. 3897; N 41, ст. 5636) и в </w:t>
      </w:r>
      <w:hyperlink r:id="rId15" w:history="1">
        <w:r>
          <w:rPr>
            <w:rFonts w:ascii="Calibri" w:hAnsi="Calibri" w:cs="Calibri"/>
            <w:color w:val="0000FF"/>
          </w:rPr>
          <w:t>постановлении</w:t>
        </w:r>
      </w:hyperlink>
      <w:r>
        <w:rPr>
          <w:rFonts w:ascii="Calibri" w:hAnsi="Calibri" w:cs="Calibri"/>
        </w:rPr>
        <w:t xml:space="preserve">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w:t>
      </w:r>
      <w:r>
        <w:rPr>
          <w:rFonts w:ascii="Calibri" w:hAnsi="Calibri" w:cs="Calibri"/>
        </w:rPr>
        <w:lastRenderedPageBreak/>
        <w:t>объектов электросетевого хозяйства, принадлежащих сетевым организациям и иным лицам, к электрическим сетям" (Собрание законодательства Российской Федерации, 2004, N 52 (часть II), ст. 5525; 2006, N 37, ст. 3876; 2007, N 14, ст. 1687, N 31, ст. 4100; 2009, N 8, ст. 979; N 9, ст. 1103; N 17, ст. 2088; N 25, ст. 3073; N 41, ст. 4771; 2010, N 12, ст. 1333; N 21, ст. 2607; N 25, ст. 3175; N 40, ст. 5086; 2011, N 10, ст. 1406; 2012, N 4, ст. 504; N 23, ст. 3008; N 41, ст. 5636).</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Плата за технологическое присоединение рассчитывается в случаях присоединения впервые вводимых в эксплуатацию, ранее присоединенных реконструируемых Устройств, максимальная мощность которых увеличивается, а также в случаях, при которых в отношении ранее присоединенных Устройств изменяются категория надежности электроснабжения, точки присоединения, виды производственной деятельности, не влекущие пересмотр величины максимальной мощности, но изменяющие схему внешнего электроснабжения таких Устройств.</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Плата за технологическое присоединение при изменении категории надежности рассчитывается за объем максимальной мощности энергопринимающих устройств Заявителя, у которых изменяется категория надежности.</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Плата за технологическое присоединение в случаях изменения схемы внешнего электроснабжения, не влекущих пересмотр величины максимальной мощности в результате изменения точек присоединения, видов производственной деятельности, рассчитывается за объем максимальной мощности, указанный в заявке на технологическое присоединение.</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Плата за технологическое присоединение взимается однократно &lt;1&gt;.</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В соответствии с </w:t>
      </w:r>
      <w:hyperlink r:id="rId16" w:history="1">
        <w:r>
          <w:rPr>
            <w:rFonts w:ascii="Calibri" w:hAnsi="Calibri" w:cs="Calibri"/>
            <w:color w:val="0000FF"/>
          </w:rPr>
          <w:t>частью 1 статьи 26</w:t>
        </w:r>
      </w:hyperlink>
      <w:r>
        <w:rPr>
          <w:rFonts w:ascii="Calibri" w:hAnsi="Calibri" w:cs="Calibri"/>
        </w:rPr>
        <w:t xml:space="preserve"> Федерального закона от 26.03.2003 N 35-ФЗ "Об электроэнергетике".</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Федеральной службой по тарифам устанавливается размер платы за технологическое присоединение к Единой национальной (общероссийской) электрической сети (далее - ЕНЭС), индивидуально для конкретного Заявителя при обращении в Федеральную службу по тарифам при необходимости выполнения мероприятий, указанных в </w:t>
      </w:r>
      <w:hyperlink w:anchor="Par197" w:history="1">
        <w:r>
          <w:rPr>
            <w:rFonts w:ascii="Calibri" w:hAnsi="Calibri" w:cs="Calibri"/>
            <w:color w:val="0000FF"/>
          </w:rPr>
          <w:t>Приложении N 1</w:t>
        </w:r>
      </w:hyperlink>
      <w:r>
        <w:rPr>
          <w:rFonts w:ascii="Calibri" w:hAnsi="Calibri" w:cs="Calibri"/>
        </w:rPr>
        <w:t xml:space="preserve"> к Методическим указаниям, или в виде формулы, определяемой в соответствии с </w:t>
      </w:r>
      <w:hyperlink w:anchor="Par172" w:history="1">
        <w:r>
          <w:rPr>
            <w:rFonts w:ascii="Calibri" w:hAnsi="Calibri" w:cs="Calibri"/>
            <w:color w:val="0000FF"/>
          </w:rPr>
          <w:t>п. 32</w:t>
        </w:r>
      </w:hyperlink>
      <w:r>
        <w:rPr>
          <w:rFonts w:ascii="Calibri" w:hAnsi="Calibri" w:cs="Calibri"/>
        </w:rPr>
        <w:t xml:space="preserve"> Методических указаний, в случае осуществления мероприятий, включаемых в стандартизированную тарифную ставку C1, указанную в </w:t>
      </w:r>
      <w:hyperlink w:anchor="Par142" w:history="1">
        <w:r>
          <w:rPr>
            <w:rFonts w:ascii="Calibri" w:hAnsi="Calibri" w:cs="Calibri"/>
            <w:color w:val="0000FF"/>
          </w:rPr>
          <w:t>пункте 30</w:t>
        </w:r>
      </w:hyperlink>
      <w:r>
        <w:rPr>
          <w:rFonts w:ascii="Calibri" w:hAnsi="Calibri" w:cs="Calibri"/>
        </w:rPr>
        <w:t xml:space="preserve"> Методических указаний.</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Органами исполнительной власти субъектов Российской Федерации в области государственного регулирования тарифов для расчета платы за технологическое присоединение к территориальным распределительным сетям утверждаются:</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 период регулирования:</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стандартизированные тарифные ставки согласно </w:t>
      </w:r>
      <w:hyperlink w:anchor="Par139" w:history="1">
        <w:r>
          <w:rPr>
            <w:rFonts w:ascii="Calibri" w:hAnsi="Calibri" w:cs="Calibri"/>
            <w:color w:val="0000FF"/>
          </w:rPr>
          <w:t>Главе IV</w:t>
        </w:r>
      </w:hyperlink>
      <w:r>
        <w:rPr>
          <w:rFonts w:ascii="Calibri" w:hAnsi="Calibri" w:cs="Calibri"/>
        </w:rPr>
        <w:t xml:space="preserve"> Методических указаний;</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ставки за единицу максимальной мощности (руб./кВт) на период регулирования согласно </w:t>
      </w:r>
      <w:hyperlink w:anchor="Par271" w:history="1">
        <w:r>
          <w:rPr>
            <w:rFonts w:ascii="Calibri" w:hAnsi="Calibri" w:cs="Calibri"/>
            <w:color w:val="0000FF"/>
          </w:rPr>
          <w:t>Приложению N 2</w:t>
        </w:r>
      </w:hyperlink>
      <w:r>
        <w:rPr>
          <w:rFonts w:ascii="Calibri" w:hAnsi="Calibri" w:cs="Calibri"/>
        </w:rPr>
        <w:t xml:space="preserve"> к Методическим указаниям, рассчитанные в соответствии с </w:t>
      </w:r>
      <w:hyperlink w:anchor="Par53" w:history="1">
        <w:r>
          <w:rPr>
            <w:rFonts w:ascii="Calibri" w:hAnsi="Calibri" w:cs="Calibri"/>
            <w:color w:val="0000FF"/>
          </w:rPr>
          <w:t>п. 8</w:t>
        </w:r>
      </w:hyperlink>
      <w:r>
        <w:rPr>
          <w:rFonts w:ascii="Calibri" w:hAnsi="Calibri" w:cs="Calibri"/>
        </w:rPr>
        <w:t xml:space="preserve"> и </w:t>
      </w:r>
      <w:hyperlink w:anchor="Par55" w:history="1">
        <w:r>
          <w:rPr>
            <w:rFonts w:ascii="Calibri" w:hAnsi="Calibri" w:cs="Calibri"/>
            <w:color w:val="0000FF"/>
          </w:rPr>
          <w:t>п. 9</w:t>
        </w:r>
      </w:hyperlink>
      <w:r>
        <w:rPr>
          <w:rFonts w:ascii="Calibri" w:hAnsi="Calibri" w:cs="Calibri"/>
        </w:rPr>
        <w:t xml:space="preserve"> Методических указаний;</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формула платы за технологическое присоединение;</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плата за технологическое присоединение к территориальным распределительным электрическим сетям энергопринимающих устройств отдельных потребителей и объектов по производству электрической энергии максимальной мощностью не менее 8 900 кВт и на уровне напряжения не ниже 35 кВ, а также при присоединении по индивидуальному проекту.</w:t>
      </w:r>
    </w:p>
    <w:p w:rsidR="00B47F99" w:rsidRDefault="00B47F99">
      <w:pPr>
        <w:widowControl w:val="0"/>
        <w:autoSpaceDE w:val="0"/>
        <w:autoSpaceDN w:val="0"/>
        <w:adjustRightInd w:val="0"/>
        <w:spacing w:after="0" w:line="240" w:lineRule="auto"/>
        <w:ind w:firstLine="540"/>
        <w:jc w:val="both"/>
        <w:rPr>
          <w:rFonts w:ascii="Calibri" w:hAnsi="Calibri" w:cs="Calibri"/>
        </w:rPr>
      </w:pPr>
      <w:bookmarkStart w:id="4" w:name="Par53"/>
      <w:bookmarkEnd w:id="4"/>
      <w:r>
        <w:rPr>
          <w:rFonts w:ascii="Calibri" w:hAnsi="Calibri" w:cs="Calibri"/>
        </w:rPr>
        <w:t xml:space="preserve">8. Сетевая организация определяет на период регулирования плановые экономически обоснованные расходы на выполнение мероприятий по технологическому присоединению к ее сетям Устройств юридических и физических лиц путем расчета необходимой валовой выручки (далее - НВВ) согласно </w:t>
      </w:r>
      <w:hyperlink r:id="rId17" w:history="1">
        <w:r>
          <w:rPr>
            <w:rFonts w:ascii="Calibri" w:hAnsi="Calibri" w:cs="Calibri"/>
            <w:color w:val="0000FF"/>
          </w:rPr>
          <w:t>Основам</w:t>
        </w:r>
      </w:hyperlink>
      <w:r>
        <w:rPr>
          <w:rFonts w:ascii="Calibri" w:hAnsi="Calibri" w:cs="Calibri"/>
        </w:rPr>
        <w:t xml:space="preserve"> ценообразования в соответствии с </w:t>
      </w:r>
      <w:hyperlink w:anchor="Par376" w:history="1">
        <w:r>
          <w:rPr>
            <w:rFonts w:ascii="Calibri" w:hAnsi="Calibri" w:cs="Calibri"/>
            <w:color w:val="0000FF"/>
          </w:rPr>
          <w:t>Приложением N 3</w:t>
        </w:r>
      </w:hyperlink>
      <w:r>
        <w:rPr>
          <w:rFonts w:ascii="Calibri" w:hAnsi="Calibri" w:cs="Calibri"/>
        </w:rPr>
        <w:t xml:space="preserve"> к Методическим указаниям.</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состав НВВ включаются расходы на выполнение мероприятий, указанных в </w:t>
      </w:r>
      <w:hyperlink w:anchor="Par69" w:history="1">
        <w:r>
          <w:rPr>
            <w:rFonts w:ascii="Calibri" w:hAnsi="Calibri" w:cs="Calibri"/>
            <w:color w:val="0000FF"/>
          </w:rPr>
          <w:t>подпунктах "а"</w:t>
        </w:r>
      </w:hyperlink>
      <w:r>
        <w:rPr>
          <w:rFonts w:ascii="Calibri" w:hAnsi="Calibri" w:cs="Calibri"/>
        </w:rPr>
        <w:t xml:space="preserve">, </w:t>
      </w:r>
      <w:hyperlink w:anchor="Par72" w:history="1">
        <w:r>
          <w:rPr>
            <w:rFonts w:ascii="Calibri" w:hAnsi="Calibri" w:cs="Calibri"/>
            <w:color w:val="0000FF"/>
          </w:rPr>
          <w:t>"г"</w:t>
        </w:r>
      </w:hyperlink>
      <w:r>
        <w:rPr>
          <w:rFonts w:ascii="Calibri" w:hAnsi="Calibri" w:cs="Calibri"/>
        </w:rPr>
        <w:t xml:space="preserve"> - </w:t>
      </w:r>
      <w:hyperlink w:anchor="Par74" w:history="1">
        <w:r>
          <w:rPr>
            <w:rFonts w:ascii="Calibri" w:hAnsi="Calibri" w:cs="Calibri"/>
            <w:color w:val="0000FF"/>
          </w:rPr>
          <w:t>"е" пункта 16</w:t>
        </w:r>
      </w:hyperlink>
      <w:r>
        <w:rPr>
          <w:rFonts w:ascii="Calibri" w:hAnsi="Calibri" w:cs="Calibri"/>
        </w:rPr>
        <w:t xml:space="preserve"> Методических указаний и расходы по мероприятиям, указанным в </w:t>
      </w:r>
      <w:hyperlink w:anchor="Par70" w:history="1">
        <w:r>
          <w:rPr>
            <w:rFonts w:ascii="Calibri" w:hAnsi="Calibri" w:cs="Calibri"/>
            <w:color w:val="0000FF"/>
          </w:rPr>
          <w:t>подпунктах "б"</w:t>
        </w:r>
      </w:hyperlink>
      <w:r>
        <w:rPr>
          <w:rFonts w:ascii="Calibri" w:hAnsi="Calibri" w:cs="Calibri"/>
        </w:rPr>
        <w:t xml:space="preserve"> и </w:t>
      </w:r>
      <w:hyperlink w:anchor="Par71" w:history="1">
        <w:r>
          <w:rPr>
            <w:rFonts w:ascii="Calibri" w:hAnsi="Calibri" w:cs="Calibri"/>
            <w:color w:val="0000FF"/>
          </w:rPr>
          <w:t>"в" пункта 16</w:t>
        </w:r>
      </w:hyperlink>
      <w:r>
        <w:rPr>
          <w:rFonts w:ascii="Calibri" w:hAnsi="Calibri" w:cs="Calibri"/>
        </w:rPr>
        <w:t xml:space="preserve"> Методических указаний, связанным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(далее - мероприятия "последней мили"). Расходы на мероприятия "последней мили" определяются в </w:t>
      </w:r>
      <w:r>
        <w:rPr>
          <w:rFonts w:ascii="Calibri" w:hAnsi="Calibri" w:cs="Calibri"/>
        </w:rPr>
        <w:lastRenderedPageBreak/>
        <w:t xml:space="preserve">соответствии с </w:t>
      </w:r>
      <w:hyperlink w:anchor="Par179" w:history="1">
        <w:r>
          <w:rPr>
            <w:rFonts w:ascii="Calibri" w:hAnsi="Calibri" w:cs="Calibri"/>
            <w:color w:val="0000FF"/>
          </w:rPr>
          <w:t>Главой V</w:t>
        </w:r>
      </w:hyperlink>
      <w:r>
        <w:rPr>
          <w:rFonts w:ascii="Calibri" w:hAnsi="Calibri" w:cs="Calibri"/>
        </w:rPr>
        <w:t xml:space="preserve"> Методических указаний.</w:t>
      </w:r>
    </w:p>
    <w:p w:rsidR="00B47F99" w:rsidRDefault="00B47F99">
      <w:pPr>
        <w:widowControl w:val="0"/>
        <w:autoSpaceDE w:val="0"/>
        <w:autoSpaceDN w:val="0"/>
        <w:adjustRightInd w:val="0"/>
        <w:spacing w:after="0" w:line="240" w:lineRule="auto"/>
        <w:ind w:firstLine="540"/>
        <w:jc w:val="both"/>
        <w:rPr>
          <w:rFonts w:ascii="Calibri" w:hAnsi="Calibri" w:cs="Calibri"/>
        </w:rPr>
      </w:pPr>
      <w:bookmarkStart w:id="5" w:name="Par55"/>
      <w:bookmarkEnd w:id="5"/>
      <w:r>
        <w:rPr>
          <w:rFonts w:ascii="Calibri" w:hAnsi="Calibri" w:cs="Calibri"/>
        </w:rPr>
        <w:t xml:space="preserve">9. Расходы по мероприятиям "последней мили" на регулируемый период при определении ставок за единицу максимальной мощности (руб./кВт) определяются исходя из фактических средних данных (о присоединенных объемах максимальной мощности, длине линий, объемах максимальной мощности построенных объектов согласно </w:t>
      </w:r>
      <w:hyperlink w:anchor="Par237" w:history="1">
        <w:r>
          <w:rPr>
            <w:rFonts w:ascii="Calibri" w:hAnsi="Calibri" w:cs="Calibri"/>
            <w:color w:val="0000FF"/>
          </w:rPr>
          <w:t>п. 3</w:t>
        </w:r>
      </w:hyperlink>
      <w:r>
        <w:rPr>
          <w:rFonts w:ascii="Calibri" w:hAnsi="Calibri" w:cs="Calibri"/>
        </w:rPr>
        <w:t xml:space="preserve">, </w:t>
      </w:r>
      <w:hyperlink w:anchor="Par248" w:history="1">
        <w:r>
          <w:rPr>
            <w:rFonts w:ascii="Calibri" w:hAnsi="Calibri" w:cs="Calibri"/>
            <w:color w:val="0000FF"/>
          </w:rPr>
          <w:t>4</w:t>
        </w:r>
      </w:hyperlink>
      <w:r>
        <w:rPr>
          <w:rFonts w:ascii="Calibri" w:hAnsi="Calibri" w:cs="Calibri"/>
        </w:rPr>
        <w:t xml:space="preserve"> указанного в Приложении N 1 к Методическим указаниям) за три предыдущих года по каждому мероприятию, и утвержденных органом исполнительной власти субъекта Российской Федерации в области государственного регулирования тарифов стандартизированных ставок.</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расходы для утверждения регулирующим органом стандартизированных тарифных ставок определяются исходя из сметно-нормативной базы ценообразования 2001 года.</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Сетевая организация представляет в регулирующий орган сведения о планируемых расходах за технологическое присоединение единицы максимальной мощности (руб./кВт) на очередной календарный год, рассчитываемых в соответствии с </w:t>
      </w:r>
      <w:hyperlink w:anchor="Par271" w:history="1">
        <w:r>
          <w:rPr>
            <w:rFonts w:ascii="Calibri" w:hAnsi="Calibri" w:cs="Calibri"/>
            <w:color w:val="0000FF"/>
          </w:rPr>
          <w:t>Приложением N 2</w:t>
        </w:r>
      </w:hyperlink>
      <w:r>
        <w:rPr>
          <w:rFonts w:ascii="Calibri" w:hAnsi="Calibri" w:cs="Calibri"/>
        </w:rPr>
        <w:t xml:space="preserve"> к Методическим указаниям, отдельно по каждому мероприятию. На основании указанных сведений регулирующим органом утверждаются на регулируемый период ставки по каждому мероприятию, определенному в указанном </w:t>
      </w:r>
      <w:hyperlink w:anchor="Par271" w:history="1">
        <w:r>
          <w:rPr>
            <w:rFonts w:ascii="Calibri" w:hAnsi="Calibri" w:cs="Calibri"/>
            <w:color w:val="0000FF"/>
          </w:rPr>
          <w:t>Приложении</w:t>
        </w:r>
      </w:hyperlink>
      <w:r>
        <w:rPr>
          <w:rFonts w:ascii="Calibri" w:hAnsi="Calibri" w:cs="Calibri"/>
        </w:rPr>
        <w:t>.</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Сетевая организация на основе утвержденных ставок и максимальной мощности, запрашиваемой Заявителем, рассчитывает размер платы за технологическое присоединение для данного Заявителя, включая расходы по мероприятиям, указанным в </w:t>
      </w:r>
      <w:hyperlink w:anchor="Par68" w:history="1">
        <w:r>
          <w:rPr>
            <w:rFonts w:ascii="Calibri" w:hAnsi="Calibri" w:cs="Calibri"/>
            <w:color w:val="0000FF"/>
          </w:rPr>
          <w:t>п. 16</w:t>
        </w:r>
      </w:hyperlink>
      <w:r>
        <w:rPr>
          <w:rFonts w:ascii="Calibri" w:hAnsi="Calibri" w:cs="Calibri"/>
        </w:rPr>
        <w:t xml:space="preserve"> (кроме </w:t>
      </w:r>
      <w:hyperlink w:anchor="Par70" w:history="1">
        <w:r>
          <w:rPr>
            <w:rFonts w:ascii="Calibri" w:hAnsi="Calibri" w:cs="Calibri"/>
            <w:color w:val="0000FF"/>
          </w:rPr>
          <w:t>подпунктов "б"</w:t>
        </w:r>
      </w:hyperlink>
      <w:r>
        <w:rPr>
          <w:rFonts w:ascii="Calibri" w:hAnsi="Calibri" w:cs="Calibri"/>
        </w:rPr>
        <w:t xml:space="preserve"> и </w:t>
      </w:r>
      <w:hyperlink w:anchor="Par71" w:history="1">
        <w:r>
          <w:rPr>
            <w:rFonts w:ascii="Calibri" w:hAnsi="Calibri" w:cs="Calibri"/>
            <w:color w:val="0000FF"/>
          </w:rPr>
          <w:t>"в"</w:t>
        </w:r>
      </w:hyperlink>
      <w:r>
        <w:rPr>
          <w:rFonts w:ascii="Calibri" w:hAnsi="Calibri" w:cs="Calibri"/>
        </w:rPr>
        <w:t xml:space="preserve">) Методических указаний, и расходы по мероприятиям "последней мили", указанных в </w:t>
      </w:r>
      <w:hyperlink w:anchor="Par197" w:history="1">
        <w:r>
          <w:rPr>
            <w:rFonts w:ascii="Calibri" w:hAnsi="Calibri" w:cs="Calibri"/>
            <w:color w:val="0000FF"/>
          </w:rPr>
          <w:t>Приложении N 1</w:t>
        </w:r>
      </w:hyperlink>
      <w:r>
        <w:rPr>
          <w:rFonts w:ascii="Calibri" w:hAnsi="Calibri" w:cs="Calibri"/>
        </w:rPr>
        <w:t xml:space="preserve"> к Методическим указаниям, осуществляемых на основании выданных сетевой организацией технических условий в зависимости от способа его технологического присоединения и уровня запрашиваемого напряжения.</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Инвестиционная составляющая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ЕНЭС, в целях присоединения новых и (или) увеличения мощности Устройств, присоединенных ранее, не учитываются при установлении платы за технологическое присоединение к электрическим сетям.</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При установлении платы за технологическое присоединение по индивидуальному проекту, регулирующий орган определяет расходы сетевой организации на реконструкцию и (или) новое строительство, связанные с данным присоединением, объем которых согласно </w:t>
      </w:r>
      <w:hyperlink r:id="rId18" w:history="1">
        <w:r>
          <w:rPr>
            <w:rFonts w:ascii="Calibri" w:hAnsi="Calibri" w:cs="Calibri"/>
            <w:color w:val="0000FF"/>
          </w:rPr>
          <w:t>п. 7</w:t>
        </w:r>
      </w:hyperlink>
      <w:r>
        <w:rPr>
          <w:rFonts w:ascii="Calibri" w:hAnsi="Calibri" w:cs="Calibri"/>
        </w:rPr>
        <w:t xml:space="preserve"> Основ ценообразования учитывается при установлении тарифов на услуги по передаче электрической энергии, а также утверждает плату Заявителю за объем максимальной мощности, указанной в заявке (в тыс. рублей).</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указанную плату включаются:</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стоимость мероприятий, перечисленных в </w:t>
      </w:r>
      <w:hyperlink w:anchor="Par68" w:history="1">
        <w:r>
          <w:rPr>
            <w:rFonts w:ascii="Calibri" w:hAnsi="Calibri" w:cs="Calibri"/>
            <w:color w:val="0000FF"/>
          </w:rPr>
          <w:t>пункте 16</w:t>
        </w:r>
      </w:hyperlink>
      <w:r>
        <w:rPr>
          <w:rFonts w:ascii="Calibri" w:hAnsi="Calibri" w:cs="Calibri"/>
        </w:rPr>
        <w:t xml:space="preserve"> (за исключением </w:t>
      </w:r>
      <w:hyperlink w:anchor="Par70" w:history="1">
        <w:r>
          <w:rPr>
            <w:rFonts w:ascii="Calibri" w:hAnsi="Calibri" w:cs="Calibri"/>
            <w:color w:val="0000FF"/>
          </w:rPr>
          <w:t>подпунктов "б"</w:t>
        </w:r>
      </w:hyperlink>
      <w:r>
        <w:rPr>
          <w:rFonts w:ascii="Calibri" w:hAnsi="Calibri" w:cs="Calibri"/>
        </w:rPr>
        <w:t xml:space="preserve"> и </w:t>
      </w:r>
      <w:hyperlink w:anchor="Par71" w:history="1">
        <w:r>
          <w:rPr>
            <w:rFonts w:ascii="Calibri" w:hAnsi="Calibri" w:cs="Calibri"/>
            <w:color w:val="0000FF"/>
          </w:rPr>
          <w:t>"в"</w:t>
        </w:r>
      </w:hyperlink>
      <w:r>
        <w:rPr>
          <w:rFonts w:ascii="Calibri" w:hAnsi="Calibri" w:cs="Calibri"/>
        </w:rPr>
        <w:t>) Методических указаний;</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стоимость конкретных мероприятий из </w:t>
      </w:r>
      <w:hyperlink w:anchor="Par197" w:history="1">
        <w:r>
          <w:rPr>
            <w:rFonts w:ascii="Calibri" w:hAnsi="Calibri" w:cs="Calibri"/>
            <w:color w:val="0000FF"/>
          </w:rPr>
          <w:t>Приложения N 1</w:t>
        </w:r>
      </w:hyperlink>
      <w:r>
        <w:rPr>
          <w:rFonts w:ascii="Calibri" w:hAnsi="Calibri" w:cs="Calibri"/>
        </w:rPr>
        <w:t xml:space="preserve"> для данного Заявителя в зависимости от способа его технологического присоединения к электрическим сетям, определенного техническими условиями.</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Уполномоченный орган исполнительной власти в области государственного регулирования тарифов утверждает такому Заявителю рассчитанный сетевой организацией общий размер платы за технологическое присоединение с разбивкой стоимости по каждому мероприятию, предусмотренному </w:t>
      </w:r>
      <w:hyperlink w:anchor="Par197" w:history="1">
        <w:r>
          <w:rPr>
            <w:rFonts w:ascii="Calibri" w:hAnsi="Calibri" w:cs="Calibri"/>
            <w:color w:val="0000FF"/>
          </w:rPr>
          <w:t>Приложением N 1</w:t>
        </w:r>
      </w:hyperlink>
      <w:r>
        <w:rPr>
          <w:rFonts w:ascii="Calibri" w:hAnsi="Calibri" w:cs="Calibri"/>
        </w:rPr>
        <w:t xml:space="preserve"> к Методическим указаниям, согласно техническим условиям, определяющим способ присоединения Заявителя.</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Любое лицо, заинтересованное в перераспределении в свою пользу максимальной мощности других лиц, энергопринимающие устройства которых присоединены в установленном порядке к электрическим сетям, вправе при наличии согласия этих лиц обратиться в сетевую организацию, к сетям которой присоединены их энергопринимающие устройства, за расчетом стоимости технологического присоединения посредством перераспределения максимальной мощности по индивидуальному проекту.</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стоимость информации, предусмотренной </w:t>
      </w:r>
      <w:hyperlink r:id="rId19" w:history="1">
        <w:r>
          <w:rPr>
            <w:rFonts w:ascii="Calibri" w:hAnsi="Calibri" w:cs="Calibri"/>
            <w:color w:val="0000FF"/>
          </w:rPr>
          <w:t>пунктом 36</w:t>
        </w:r>
      </w:hyperlink>
      <w:r>
        <w:rPr>
          <w:rFonts w:ascii="Calibri" w:hAnsi="Calibri" w:cs="Calibri"/>
        </w:rPr>
        <w:t xml:space="preserve"> Правил технологического присоединения, предоставляемой сетевой организацией по запросу лица, заинтересованного в перераспределении в свою пользу максимальной мощности других лиц, не входит в состав платы </w:t>
      </w:r>
      <w:r>
        <w:rPr>
          <w:rFonts w:ascii="Calibri" w:hAnsi="Calibri" w:cs="Calibri"/>
        </w:rPr>
        <w:lastRenderedPageBreak/>
        <w:t>за технологическое присоединение и оплачивается отдельно в размере, не превышающем 550 рублей.</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Плата за технологическое присоединение для Заявителя, в пользу которого предполагается перераспределить максимальную мощность, определяется по индивидуальному проекту исходя из расходов сетевой организации на осуществление мероприятий, связанных исключительно с мероприятиями по перераспределению максимальной мощности конкретных энергопринимающих устройств (электрических сетей) и сооружением сетевой инфраструктуры от границ участка Заявителя до электрической сети сетевой организации, и утверждается уполномоченным органом исполнительной власти в области государственного регулирования тарифов с разбивкой стоимости по каждому мероприятию.</w:t>
      </w:r>
    </w:p>
    <w:p w:rsidR="00B47F99" w:rsidRDefault="00B47F99">
      <w:pPr>
        <w:widowControl w:val="0"/>
        <w:autoSpaceDE w:val="0"/>
        <w:autoSpaceDN w:val="0"/>
        <w:adjustRightInd w:val="0"/>
        <w:spacing w:after="0" w:line="240" w:lineRule="auto"/>
        <w:ind w:firstLine="540"/>
        <w:jc w:val="both"/>
        <w:rPr>
          <w:rFonts w:ascii="Calibri" w:hAnsi="Calibri" w:cs="Calibri"/>
        </w:rPr>
      </w:pPr>
      <w:bookmarkStart w:id="6" w:name="Par68"/>
      <w:bookmarkEnd w:id="6"/>
      <w:r>
        <w:rPr>
          <w:rFonts w:ascii="Calibri" w:hAnsi="Calibri" w:cs="Calibri"/>
        </w:rPr>
        <w:t>16. Для расчета платы за технологическое присоединение к электрическим сетям учитываются расходы на выполнение сетевой организацией следующих обязательных мероприятий:</w:t>
      </w:r>
    </w:p>
    <w:p w:rsidR="00B47F99" w:rsidRDefault="00B47F99">
      <w:pPr>
        <w:widowControl w:val="0"/>
        <w:autoSpaceDE w:val="0"/>
        <w:autoSpaceDN w:val="0"/>
        <w:adjustRightInd w:val="0"/>
        <w:spacing w:after="0" w:line="240" w:lineRule="auto"/>
        <w:ind w:firstLine="540"/>
        <w:jc w:val="both"/>
        <w:rPr>
          <w:rFonts w:ascii="Calibri" w:hAnsi="Calibri" w:cs="Calibri"/>
        </w:rPr>
      </w:pPr>
      <w:bookmarkStart w:id="7" w:name="Par69"/>
      <w:bookmarkEnd w:id="7"/>
      <w:r>
        <w:rPr>
          <w:rFonts w:ascii="Calibri" w:hAnsi="Calibri" w:cs="Calibri"/>
        </w:rPr>
        <w:t>а) подготовку и выдачу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а в случае выдачи технических условий электростанцией - согласование их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и со смежными сетевыми организациями;</w:t>
      </w:r>
    </w:p>
    <w:p w:rsidR="00B47F99" w:rsidRDefault="00B47F99">
      <w:pPr>
        <w:widowControl w:val="0"/>
        <w:autoSpaceDE w:val="0"/>
        <w:autoSpaceDN w:val="0"/>
        <w:adjustRightInd w:val="0"/>
        <w:spacing w:after="0" w:line="240" w:lineRule="auto"/>
        <w:ind w:firstLine="540"/>
        <w:jc w:val="both"/>
        <w:rPr>
          <w:rFonts w:ascii="Calibri" w:hAnsi="Calibri" w:cs="Calibri"/>
        </w:rPr>
      </w:pPr>
      <w:bookmarkStart w:id="8" w:name="Par70"/>
      <w:bookmarkEnd w:id="8"/>
      <w:r>
        <w:rPr>
          <w:rFonts w:ascii="Calibri" w:hAnsi="Calibri" w:cs="Calibri"/>
        </w:rPr>
        <w:t>б) разработку сетевой организацией проектной документации согласно обязательствам, предусмотренным техническими условиями;</w:t>
      </w:r>
    </w:p>
    <w:p w:rsidR="00B47F99" w:rsidRDefault="00B47F99">
      <w:pPr>
        <w:widowControl w:val="0"/>
        <w:autoSpaceDE w:val="0"/>
        <w:autoSpaceDN w:val="0"/>
        <w:adjustRightInd w:val="0"/>
        <w:spacing w:after="0" w:line="240" w:lineRule="auto"/>
        <w:ind w:firstLine="540"/>
        <w:jc w:val="both"/>
        <w:rPr>
          <w:rFonts w:ascii="Calibri" w:hAnsi="Calibri" w:cs="Calibri"/>
        </w:rPr>
      </w:pPr>
      <w:bookmarkStart w:id="9" w:name="Par71"/>
      <w:bookmarkEnd w:id="9"/>
      <w:r>
        <w:rPr>
          <w:rFonts w:ascii="Calibri" w:hAnsi="Calibri" w:cs="Calibri"/>
        </w:rPr>
        <w:t>в) выполнение технических условий сетевой организацией, включая осуществление сетевой организацией мероприятий по подключению Устройств под действие аппаратуры противоаварийной и режимной автоматики в соответствии с техническими условиями;</w:t>
      </w:r>
    </w:p>
    <w:p w:rsidR="00B47F99" w:rsidRDefault="00B47F99">
      <w:pPr>
        <w:widowControl w:val="0"/>
        <w:autoSpaceDE w:val="0"/>
        <w:autoSpaceDN w:val="0"/>
        <w:adjustRightInd w:val="0"/>
        <w:spacing w:after="0" w:line="240" w:lineRule="auto"/>
        <w:ind w:firstLine="540"/>
        <w:jc w:val="both"/>
        <w:rPr>
          <w:rFonts w:ascii="Calibri" w:hAnsi="Calibri" w:cs="Calibri"/>
        </w:rPr>
      </w:pPr>
      <w:bookmarkStart w:id="10" w:name="Par72"/>
      <w:bookmarkEnd w:id="10"/>
      <w:r>
        <w:rPr>
          <w:rFonts w:ascii="Calibri" w:hAnsi="Calibri" w:cs="Calibri"/>
        </w:rPr>
        <w:t>г) проверку сетевой организацией выполнения Заявителем технических условий;</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осмотр (обследование) присоединяемых Устройств должностным лицом федерального органа исполнительной власти по технологическому надзору при участии сетевой организации и собственника таких устройств, а также соответствующего субъекта оперативно-диспетчерского управления в случае, если технические условия подлежат в соответствии с </w:t>
      </w:r>
      <w:hyperlink r:id="rId20" w:history="1">
        <w:r>
          <w:rPr>
            <w:rFonts w:ascii="Calibri" w:hAnsi="Calibri" w:cs="Calibri"/>
            <w:color w:val="0000FF"/>
          </w:rPr>
          <w:t>Правилами</w:t>
        </w:r>
      </w:hyperlink>
      <w:r>
        <w:rPr>
          <w:rFonts w:ascii="Calibri" w:hAnsi="Calibri" w:cs="Calibri"/>
        </w:rPr>
        <w:t xml:space="preserve"> технологического присоединения согласованию с таким субъектом оперативно-диспетчерского управления (для лиц, указанных в </w:t>
      </w:r>
      <w:hyperlink r:id="rId21" w:history="1">
        <w:r>
          <w:rPr>
            <w:rFonts w:ascii="Calibri" w:hAnsi="Calibri" w:cs="Calibri"/>
            <w:color w:val="0000FF"/>
          </w:rPr>
          <w:t>пунктах 12.1</w:t>
        </w:r>
      </w:hyperlink>
      <w:r>
        <w:rPr>
          <w:rFonts w:ascii="Calibri" w:hAnsi="Calibri" w:cs="Calibri"/>
        </w:rPr>
        <w:t xml:space="preserve"> - </w:t>
      </w:r>
      <w:hyperlink r:id="rId22" w:history="1">
        <w:r>
          <w:rPr>
            <w:rFonts w:ascii="Calibri" w:hAnsi="Calibri" w:cs="Calibri"/>
            <w:color w:val="0000FF"/>
          </w:rPr>
          <w:t>14</w:t>
        </w:r>
      </w:hyperlink>
      <w:r>
        <w:rPr>
          <w:rFonts w:ascii="Calibri" w:hAnsi="Calibri" w:cs="Calibri"/>
        </w:rPr>
        <w:t xml:space="preserve"> Правил технологического присоединения, осмотр присоединяемых энергопринимающих устройств должен осуществляться с участием сетевой организации и Заявителя);</w:t>
      </w:r>
    </w:p>
    <w:p w:rsidR="00B47F99" w:rsidRDefault="00B47F99">
      <w:pPr>
        <w:widowControl w:val="0"/>
        <w:autoSpaceDE w:val="0"/>
        <w:autoSpaceDN w:val="0"/>
        <w:adjustRightInd w:val="0"/>
        <w:spacing w:after="0" w:line="240" w:lineRule="auto"/>
        <w:ind w:firstLine="540"/>
        <w:jc w:val="both"/>
        <w:rPr>
          <w:rFonts w:ascii="Calibri" w:hAnsi="Calibri" w:cs="Calibri"/>
        </w:rPr>
      </w:pPr>
      <w:bookmarkStart w:id="11" w:name="Par74"/>
      <w:bookmarkEnd w:id="11"/>
      <w:r>
        <w:rPr>
          <w:rFonts w:ascii="Calibri" w:hAnsi="Calibri" w:cs="Calibri"/>
        </w:rPr>
        <w:t>е) осуществление сетевой организацией фактического присоединения объектов Заявителя к электрическим сетям и включение коммутационного аппарата (фиксация коммутационного аппарата в положении "включено").</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указанным мероприятиям сетевая организация представляет калькуляцию согласно </w:t>
      </w:r>
      <w:hyperlink w:anchor="Par271" w:history="1">
        <w:r>
          <w:rPr>
            <w:rFonts w:ascii="Calibri" w:hAnsi="Calibri" w:cs="Calibri"/>
            <w:color w:val="0000FF"/>
          </w:rPr>
          <w:t>Приложению N 2</w:t>
        </w:r>
      </w:hyperlink>
      <w:r>
        <w:rPr>
          <w:rFonts w:ascii="Calibri" w:hAnsi="Calibri" w:cs="Calibri"/>
        </w:rPr>
        <w:t>.</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Расходы, включенные в плату, подлежат отдельному учету со стороны сетевой организации и не учитываются в необходимой валовой выручке сетевой организации по иным регулируемым видам деятельности, за исключением услуг по передаче электрической энергии, в случаях, предусмотренных </w:t>
      </w:r>
      <w:hyperlink r:id="rId23" w:history="1">
        <w:r>
          <w:rPr>
            <w:rFonts w:ascii="Calibri" w:hAnsi="Calibri" w:cs="Calibri"/>
            <w:color w:val="0000FF"/>
          </w:rPr>
          <w:t>Основами</w:t>
        </w:r>
      </w:hyperlink>
      <w:r>
        <w:rPr>
          <w:rFonts w:ascii="Calibri" w:hAnsi="Calibri" w:cs="Calibri"/>
        </w:rPr>
        <w:t xml:space="preserve"> ценообразования.</w:t>
      </w:r>
    </w:p>
    <w:p w:rsidR="00B47F99" w:rsidRDefault="00B47F99">
      <w:pPr>
        <w:widowControl w:val="0"/>
        <w:autoSpaceDE w:val="0"/>
        <w:autoSpaceDN w:val="0"/>
        <w:adjustRightInd w:val="0"/>
        <w:spacing w:after="0" w:line="240" w:lineRule="auto"/>
        <w:ind w:firstLine="540"/>
        <w:jc w:val="both"/>
        <w:rPr>
          <w:rFonts w:ascii="Calibri" w:hAnsi="Calibri" w:cs="Calibri"/>
        </w:rPr>
      </w:pPr>
      <w:bookmarkStart w:id="12" w:name="Par77"/>
      <w:bookmarkEnd w:id="12"/>
      <w:r>
        <w:rPr>
          <w:rFonts w:ascii="Calibri" w:hAnsi="Calibri" w:cs="Calibri"/>
        </w:rPr>
        <w:t>18. Плата для Заявителя, подавшего заявку в целях технологического присоединения энергопринимающих устройств максимальной мощностью, не превышающей 15 кВт включительно (с учетом ранее присоединенной в данной точке присоединения мощности), составляет не более 550 рублей, при присоединении объектов, отнесенных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необходимого Заявителю уровня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24" w:history="1">
        <w:r>
          <w:rPr>
            <w:rFonts w:ascii="Calibri" w:hAnsi="Calibri" w:cs="Calibri"/>
            <w:color w:val="0000FF"/>
          </w:rPr>
          <w:t>пунктом 8</w:t>
        </w:r>
      </w:hyperlink>
      <w:r>
        <w:rPr>
          <w:rFonts w:ascii="Calibri" w:hAnsi="Calibri" w:cs="Calibri"/>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w:t>
      </w:r>
      <w:r>
        <w:rPr>
          <w:rFonts w:ascii="Calibri" w:hAnsi="Calibri" w:cs="Calibri"/>
        </w:rPr>
        <w:lastRenderedPageBreak/>
        <w:t xml:space="preserve">Федерации от 27.12.2004 N 861, под расстоянием от границ участка Заявителя до объектов электросетевого хозяйства сетевой организации понимается минимальное расстояние, измеряемое по прямой линии от границы участка (нахождения присоединяемых энергопринимающих устройств) Заявителя до ближайшего объекта электрической сети (опора линий электропередачи, кабельная линия, распределительное устройство, подстанция), имеющего уровень напряжения, указанный в заявке, существующего или планируемого к вводу в эксплуатацию в соответствии с инвестиционной программой сетевой организации, утвержденной в установленном порядке и реализуемой в сроки, предусмотренные </w:t>
      </w:r>
      <w:hyperlink r:id="rId25" w:history="1">
        <w:r>
          <w:rPr>
            <w:rFonts w:ascii="Calibri" w:hAnsi="Calibri" w:cs="Calibri"/>
            <w:color w:val="0000FF"/>
          </w:rPr>
          <w:t>подпунктом "б" пункта 16</w:t>
        </w:r>
      </w:hyperlink>
      <w:r>
        <w:rPr>
          <w:rFonts w:ascii="Calibri" w:hAnsi="Calibri" w:cs="Calibri"/>
        </w:rPr>
        <w:t xml:space="preserve"> Правил технологического присоединения, начиная с даты подачи заявки в сетевую организацию.</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с учетом последующего увеличения максимальной мощности ранее присоединенного Устройства максимальная мощность превысит 15 кВт и (или) превышены вышеуказанные расстояния, расчет платы за технологическое присоединение производится в соответствии с </w:t>
      </w:r>
      <w:hyperlink w:anchor="Par103" w:history="1">
        <w:r>
          <w:rPr>
            <w:rFonts w:ascii="Calibri" w:hAnsi="Calibri" w:cs="Calibri"/>
            <w:color w:val="0000FF"/>
          </w:rPr>
          <w:t>Главой III</w:t>
        </w:r>
      </w:hyperlink>
      <w:r>
        <w:rPr>
          <w:rFonts w:ascii="Calibri" w:hAnsi="Calibri" w:cs="Calibri"/>
        </w:rPr>
        <w:t xml:space="preserve"> Методических указаний по ставке платы, утвержденной регулирующим органом в соответствии с принятой в субъекте Российской Федерации дифференциацией ставок платы за технологическое присоединение, пропорционально объему максимальной мощности, заявленной потребителем.</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Плата для Заявителя, подавшего заявку в целях технологического присоединения энергопринимающих устройств максимальной мощностью, не превышающей 15 кВт включительно (с учетом ранее присоединенной в данной точке присоединения мощности) по первой и (или) второй категории надежности, т.е. к двум независимым источникам электроснабжения, производится по ставке платы, утвержденной регулирующим органом в соответствии с принятой в субъекте Российской Федерации дифференциацией ставок платы за технологическое присоединение, за объем максимальной мощности, указанной в заявке на технологическое присоединение, по выбранной категории надежности.</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Заявителем на технологическое присоединение выступает: садоводческое, огородническое или дачное некоммерческое объединение граждан (садоводческое, огородническое или дачное некоммерческое товарищество, садоводческий, огороднический или дачный потребительский кооператив, садоводческое, огородническое или дачное некоммерческое партнерство), содержащееся за счет прихожан религиозная организация, объединение граждан, объединивших свои хозяйственные постройки (погреба, сараи и иные сооружения аналогичного назначения), то плата для указанных Заявителей не должна превышать 550 рублей, умноженных на количество членов (абонентов) этих объединений (организаций), при условии присоединения каждым членом этого объединения (организации) не более 15 кВт.</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Разница между экономически обоснованными расходами, определенными сетевой организацией для данного присоединения, и вышеуказанной платой, установленной для включенных в перечень некоммерческих организаций, учитывается в тарифах на услуги по передаче электрической энергии.</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Заявитель, подающий заявку в целях временного (на срок не более 6 месяцев) технологического присоединения принадлежащих ему энергопринимающих устройств для обеспечения электрической энергией передвижных объектов с максимальной мощностью:</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до 15 кВт включительно (с учетом ранее присоединенной в данной точке присоединения мощности), оплачивает работы в соответствии с </w:t>
      </w:r>
      <w:hyperlink w:anchor="Par77" w:history="1">
        <w:r>
          <w:rPr>
            <w:rFonts w:ascii="Calibri" w:hAnsi="Calibri" w:cs="Calibri"/>
            <w:color w:val="0000FF"/>
          </w:rPr>
          <w:t>пунктом 18</w:t>
        </w:r>
      </w:hyperlink>
      <w:r>
        <w:rPr>
          <w:rFonts w:ascii="Calibri" w:hAnsi="Calibri" w:cs="Calibri"/>
        </w:rPr>
        <w:t xml:space="preserve"> Методических указаний;</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до 100 кВт включительно (с учетом ранее присоединенной в данной точке присоединения мощности), в том числе и Заявитель подающий заявку на технологическое присоединение до 15 кВт, не удовлетворяющий требованиям, установленным </w:t>
      </w:r>
      <w:hyperlink w:anchor="Par77" w:history="1">
        <w:r>
          <w:rPr>
            <w:rFonts w:ascii="Calibri" w:hAnsi="Calibri" w:cs="Calibri"/>
            <w:color w:val="0000FF"/>
          </w:rPr>
          <w:t>п. 18</w:t>
        </w:r>
      </w:hyperlink>
      <w:r>
        <w:rPr>
          <w:rFonts w:ascii="Calibri" w:hAnsi="Calibri" w:cs="Calibri"/>
        </w:rPr>
        <w:t xml:space="preserve"> Методических указаний, оплачивает работы, указанные в </w:t>
      </w:r>
      <w:hyperlink w:anchor="Par68" w:history="1">
        <w:r>
          <w:rPr>
            <w:rFonts w:ascii="Calibri" w:hAnsi="Calibri" w:cs="Calibri"/>
            <w:color w:val="0000FF"/>
          </w:rPr>
          <w:t>пункте 16</w:t>
        </w:r>
      </w:hyperlink>
      <w:r>
        <w:rPr>
          <w:rFonts w:ascii="Calibri" w:hAnsi="Calibri" w:cs="Calibri"/>
        </w:rPr>
        <w:t xml:space="preserve"> Методических указаний в соответствии с </w:t>
      </w:r>
      <w:hyperlink w:anchor="Par103" w:history="1">
        <w:r>
          <w:rPr>
            <w:rFonts w:ascii="Calibri" w:hAnsi="Calibri" w:cs="Calibri"/>
            <w:color w:val="0000FF"/>
          </w:rPr>
          <w:t>Главой III</w:t>
        </w:r>
      </w:hyperlink>
      <w:r>
        <w:rPr>
          <w:rFonts w:ascii="Calibri" w:hAnsi="Calibri" w:cs="Calibri"/>
        </w:rPr>
        <w:t xml:space="preserve"> Методических указаний, с учетом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определяемых в соответствии с </w:t>
      </w:r>
      <w:hyperlink w:anchor="Par179" w:history="1">
        <w:r>
          <w:rPr>
            <w:rFonts w:ascii="Calibri" w:hAnsi="Calibri" w:cs="Calibri"/>
            <w:color w:val="0000FF"/>
          </w:rPr>
          <w:t>Главой V</w:t>
        </w:r>
      </w:hyperlink>
      <w:r>
        <w:rPr>
          <w:rFonts w:ascii="Calibri" w:hAnsi="Calibri" w:cs="Calibri"/>
        </w:rPr>
        <w:t xml:space="preserve"> согласно </w:t>
      </w:r>
      <w:hyperlink w:anchor="Par197" w:history="1">
        <w:r>
          <w:rPr>
            <w:rFonts w:ascii="Calibri" w:hAnsi="Calibri" w:cs="Calibri"/>
            <w:color w:val="0000FF"/>
          </w:rPr>
          <w:t>Приложению N 1</w:t>
        </w:r>
      </w:hyperlink>
      <w:r>
        <w:rPr>
          <w:rFonts w:ascii="Calibri" w:hAnsi="Calibri" w:cs="Calibri"/>
        </w:rPr>
        <w:t xml:space="preserve"> к Методическим указаниям.</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В случае если в представленных материалах присутствуют величины, измеряемые в кВА, то при осуществлении расчета за технологическое присоединение перевод одного кВА в один кВт производится следующим образом: </w:t>
      </w:r>
      <w:r>
        <w:rPr>
          <w:rFonts w:ascii="Calibri" w:hAnsi="Calibri" w:cs="Calibri"/>
          <w:position w:val="-1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17.25pt">
            <v:imagedata r:id="rId26" o:title=""/>
          </v:shape>
        </w:pict>
      </w:r>
      <w:r>
        <w:rPr>
          <w:rFonts w:ascii="Calibri" w:hAnsi="Calibri" w:cs="Calibri"/>
        </w:rPr>
        <w:t xml:space="preserve">, где </w:t>
      </w:r>
      <w:r>
        <w:rPr>
          <w:rFonts w:ascii="Calibri" w:hAnsi="Calibri" w:cs="Calibri"/>
          <w:position w:val="-10"/>
        </w:rPr>
        <w:pict>
          <v:shape id="_x0000_i1026" type="#_x0000_t75" style="width:31.5pt;height:13.5pt">
            <v:imagedata r:id="rId27" o:title=""/>
          </v:shape>
        </w:pict>
      </w:r>
      <w:r>
        <w:rPr>
          <w:rFonts w:ascii="Calibri" w:hAnsi="Calibri" w:cs="Calibri"/>
        </w:rPr>
        <w:t xml:space="preserve"> = 0,89.</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21. Ставки платы за технологическое присоединение к электрическим сетям утверждаются с разбивкой по категориям потребителей, уровням напряжения и (или) объему присоединяемой максимальной мощности, а также могут быть утверждены по муниципальным образованиям и по районам.</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jc w:val="center"/>
        <w:outlineLvl w:val="1"/>
        <w:rPr>
          <w:rFonts w:ascii="Calibri" w:hAnsi="Calibri" w:cs="Calibri"/>
        </w:rPr>
      </w:pPr>
      <w:bookmarkStart w:id="13" w:name="Par89"/>
      <w:bookmarkEnd w:id="13"/>
      <w:r>
        <w:rPr>
          <w:rFonts w:ascii="Calibri" w:hAnsi="Calibri" w:cs="Calibri"/>
        </w:rPr>
        <w:t>II. Расчет размера платы за технологическое присоединение</w:t>
      </w:r>
    </w:p>
    <w:p w:rsidR="00B47F99" w:rsidRDefault="00B47F99">
      <w:pPr>
        <w:widowControl w:val="0"/>
        <w:autoSpaceDE w:val="0"/>
        <w:autoSpaceDN w:val="0"/>
        <w:adjustRightInd w:val="0"/>
        <w:spacing w:after="0" w:line="240" w:lineRule="auto"/>
        <w:jc w:val="center"/>
        <w:rPr>
          <w:rFonts w:ascii="Calibri" w:hAnsi="Calibri" w:cs="Calibri"/>
        </w:rPr>
      </w:pPr>
      <w:r>
        <w:rPr>
          <w:rFonts w:ascii="Calibri" w:hAnsi="Calibri" w:cs="Calibri"/>
        </w:rPr>
        <w:t>к электрическим сетям на уровне напряжения не ниже 35 кВ</w:t>
      </w:r>
    </w:p>
    <w:p w:rsidR="00B47F99" w:rsidRDefault="00B47F99">
      <w:pPr>
        <w:widowControl w:val="0"/>
        <w:autoSpaceDE w:val="0"/>
        <w:autoSpaceDN w:val="0"/>
        <w:adjustRightInd w:val="0"/>
        <w:spacing w:after="0" w:line="240" w:lineRule="auto"/>
        <w:jc w:val="center"/>
        <w:rPr>
          <w:rFonts w:ascii="Calibri" w:hAnsi="Calibri" w:cs="Calibri"/>
        </w:rPr>
      </w:pPr>
      <w:r>
        <w:rPr>
          <w:rFonts w:ascii="Calibri" w:hAnsi="Calibri" w:cs="Calibri"/>
        </w:rPr>
        <w:t>и (или) максимальной мощности не менее 8 900 кВт</w:t>
      </w:r>
    </w:p>
    <w:p w:rsidR="00B47F99" w:rsidRDefault="00B47F99">
      <w:pPr>
        <w:widowControl w:val="0"/>
        <w:autoSpaceDE w:val="0"/>
        <w:autoSpaceDN w:val="0"/>
        <w:adjustRightInd w:val="0"/>
        <w:spacing w:after="0" w:line="240" w:lineRule="auto"/>
        <w:jc w:val="center"/>
        <w:rPr>
          <w:rFonts w:ascii="Calibri" w:hAnsi="Calibri" w:cs="Calibri"/>
        </w:rPr>
      </w:pPr>
      <w:r>
        <w:rPr>
          <w:rFonts w:ascii="Calibri" w:hAnsi="Calibri" w:cs="Calibri"/>
        </w:rPr>
        <w:t>энергопринимающих устройств отдельных потребителей</w:t>
      </w:r>
    </w:p>
    <w:p w:rsidR="00B47F99" w:rsidRDefault="00B47F99">
      <w:pPr>
        <w:widowControl w:val="0"/>
        <w:autoSpaceDE w:val="0"/>
        <w:autoSpaceDN w:val="0"/>
        <w:adjustRightInd w:val="0"/>
        <w:spacing w:after="0" w:line="240" w:lineRule="auto"/>
        <w:jc w:val="center"/>
        <w:rPr>
          <w:rFonts w:ascii="Calibri" w:hAnsi="Calibri" w:cs="Calibri"/>
        </w:rPr>
      </w:pPr>
      <w:r>
        <w:rPr>
          <w:rFonts w:ascii="Calibri" w:hAnsi="Calibri" w:cs="Calibri"/>
        </w:rPr>
        <w:t>и объектов по производству электрической энергии</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Плата за технологическое присоединение для Заявителей, присоединяющихся к электрическим сетям на уровне напряжения не ниже 35 кВ и (или) максимальной мощности не менее 8 900 кВт энергопринимающих устройств отдельных потребителей и объектов по производству электрической энергии, определяется регулирующим органом в соответствии с выданными техническими условиями по формуле (1) и устанавливается в тыс. рублей:</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27" type="#_x0000_t75" style="width:63pt;height:18.75pt">
            <v:imagedata r:id="rId28" o:title=""/>
          </v:shape>
        </w:pict>
      </w:r>
      <w:r>
        <w:rPr>
          <w:rFonts w:ascii="Calibri" w:hAnsi="Calibri" w:cs="Calibri"/>
        </w:rPr>
        <w:t xml:space="preserve"> (тыс. руб.), (1)</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 - стоимость мероприятий, перечисленных в </w:t>
      </w:r>
      <w:hyperlink w:anchor="Par68" w:history="1">
        <w:r>
          <w:rPr>
            <w:rFonts w:ascii="Calibri" w:hAnsi="Calibri" w:cs="Calibri"/>
            <w:color w:val="0000FF"/>
          </w:rPr>
          <w:t>пункте 16</w:t>
        </w:r>
      </w:hyperlink>
      <w:r>
        <w:rPr>
          <w:rFonts w:ascii="Calibri" w:hAnsi="Calibri" w:cs="Calibri"/>
        </w:rPr>
        <w:t xml:space="preserve"> (за исключением </w:t>
      </w:r>
      <w:hyperlink w:anchor="Par70" w:history="1">
        <w:r>
          <w:rPr>
            <w:rFonts w:ascii="Calibri" w:hAnsi="Calibri" w:cs="Calibri"/>
            <w:color w:val="0000FF"/>
          </w:rPr>
          <w:t>подпунктов "б"</w:t>
        </w:r>
      </w:hyperlink>
      <w:r>
        <w:rPr>
          <w:rFonts w:ascii="Calibri" w:hAnsi="Calibri" w:cs="Calibri"/>
        </w:rPr>
        <w:t xml:space="preserve"> и </w:t>
      </w:r>
      <w:hyperlink w:anchor="Par71" w:history="1">
        <w:r>
          <w:rPr>
            <w:rFonts w:ascii="Calibri" w:hAnsi="Calibri" w:cs="Calibri"/>
            <w:color w:val="0000FF"/>
          </w:rPr>
          <w:t>"в"</w:t>
        </w:r>
      </w:hyperlink>
      <w:r>
        <w:rPr>
          <w:rFonts w:ascii="Calibri" w:hAnsi="Calibri" w:cs="Calibri"/>
        </w:rPr>
        <w:t>) Методических указаний (тыс. руб.);</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28" type="#_x0000_t75" style="width:15pt;height:18.75pt">
            <v:imagedata r:id="rId29" o:title=""/>
          </v:shape>
        </w:pict>
      </w:r>
      <w:r>
        <w:rPr>
          <w:rFonts w:ascii="Calibri" w:hAnsi="Calibri" w:cs="Calibri"/>
        </w:rPr>
        <w:t xml:space="preserve"> - стоимость строительства и выполнения проектно-сметной документации по мероприятиям "последней мили", согласно выданным техническим условиям.</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jc w:val="center"/>
        <w:outlineLvl w:val="1"/>
        <w:rPr>
          <w:rFonts w:ascii="Calibri" w:hAnsi="Calibri" w:cs="Calibri"/>
        </w:rPr>
      </w:pPr>
      <w:bookmarkStart w:id="14" w:name="Par103"/>
      <w:bookmarkEnd w:id="14"/>
      <w:r>
        <w:rPr>
          <w:rFonts w:ascii="Calibri" w:hAnsi="Calibri" w:cs="Calibri"/>
        </w:rPr>
        <w:t>III. Расчет ставок за единицу максимальной</w:t>
      </w:r>
    </w:p>
    <w:p w:rsidR="00B47F99" w:rsidRDefault="00B47F99">
      <w:pPr>
        <w:widowControl w:val="0"/>
        <w:autoSpaceDE w:val="0"/>
        <w:autoSpaceDN w:val="0"/>
        <w:adjustRightInd w:val="0"/>
        <w:spacing w:after="0" w:line="240" w:lineRule="auto"/>
        <w:jc w:val="center"/>
        <w:rPr>
          <w:rFonts w:ascii="Calibri" w:hAnsi="Calibri" w:cs="Calibri"/>
        </w:rPr>
      </w:pPr>
      <w:r>
        <w:rPr>
          <w:rFonts w:ascii="Calibri" w:hAnsi="Calibri" w:cs="Calibri"/>
        </w:rPr>
        <w:t>мощности и размера платы за технологическое присоединение</w:t>
      </w:r>
    </w:p>
    <w:p w:rsidR="00B47F99" w:rsidRDefault="00B47F99">
      <w:pPr>
        <w:widowControl w:val="0"/>
        <w:autoSpaceDE w:val="0"/>
        <w:autoSpaceDN w:val="0"/>
        <w:adjustRightInd w:val="0"/>
        <w:spacing w:after="0" w:line="240" w:lineRule="auto"/>
        <w:jc w:val="center"/>
        <w:rPr>
          <w:rFonts w:ascii="Calibri" w:hAnsi="Calibri" w:cs="Calibri"/>
        </w:rPr>
      </w:pPr>
      <w:r>
        <w:rPr>
          <w:rFonts w:ascii="Calibri" w:hAnsi="Calibri" w:cs="Calibri"/>
        </w:rPr>
        <w:t>к электрическим сетям на уровне напряжения ниже 35 кВ</w:t>
      </w:r>
    </w:p>
    <w:p w:rsidR="00B47F99" w:rsidRDefault="00B47F99">
      <w:pPr>
        <w:widowControl w:val="0"/>
        <w:autoSpaceDE w:val="0"/>
        <w:autoSpaceDN w:val="0"/>
        <w:adjustRightInd w:val="0"/>
        <w:spacing w:after="0" w:line="240" w:lineRule="auto"/>
        <w:jc w:val="center"/>
        <w:rPr>
          <w:rFonts w:ascii="Calibri" w:hAnsi="Calibri" w:cs="Calibri"/>
        </w:rPr>
      </w:pPr>
      <w:r>
        <w:rPr>
          <w:rFonts w:ascii="Calibri" w:hAnsi="Calibri" w:cs="Calibri"/>
        </w:rPr>
        <w:t>и максимальной мощности менее 8 900 кВт</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Размер ставок за единицу максимальной мощности (руб./кВт) для определения платы за технологическое присоединение к электрическим сетям на уровне напряжения ниже 35 кВ и мощности менее 8 900 кВт утверждается органом исполнительной власти субъекта Российской Федерации в области государственного регулирования тарифов на период регулирования раздельно для каждой сетевой организации.</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Расчет ставок по каждому мероприятию в отдельности в соответствии с </w:t>
      </w:r>
      <w:hyperlink w:anchor="Par271" w:history="1">
        <w:r>
          <w:rPr>
            <w:rFonts w:ascii="Calibri" w:hAnsi="Calibri" w:cs="Calibri"/>
            <w:color w:val="0000FF"/>
          </w:rPr>
          <w:t>Приложением N 2</w:t>
        </w:r>
      </w:hyperlink>
      <w:r>
        <w:rPr>
          <w:rFonts w:ascii="Calibri" w:hAnsi="Calibri" w:cs="Calibri"/>
        </w:rPr>
        <w:t xml:space="preserve"> к Методическим указаниям за 1 кВт мощности технологического присоединения производится на основе разбивки НВВ, определенной сетевой организацией согласно </w:t>
      </w:r>
      <w:hyperlink w:anchor="Par376" w:history="1">
        <w:r>
          <w:rPr>
            <w:rFonts w:ascii="Calibri" w:hAnsi="Calibri" w:cs="Calibri"/>
            <w:color w:val="0000FF"/>
          </w:rPr>
          <w:t>Приложению N 3</w:t>
        </w:r>
      </w:hyperlink>
      <w:r>
        <w:rPr>
          <w:rFonts w:ascii="Calibri" w:hAnsi="Calibri" w:cs="Calibri"/>
        </w:rPr>
        <w:t xml:space="preserve"> к Методическим указаниям, и объема присоединяемой максимальной мощности по каждому мероприятию, представленных сетевой организацией в уполномоченный орган исполнительной власти в области государственного регулирования тарифов на период регулирования.</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Ставка платы за осуществление каждого мероприятия технологического присоединения (</w:t>
      </w:r>
      <w:r>
        <w:rPr>
          <w:rFonts w:ascii="Calibri" w:hAnsi="Calibri" w:cs="Calibri"/>
          <w:position w:val="-14"/>
        </w:rPr>
        <w:pict>
          <v:shape id="_x0000_i1029" type="#_x0000_t75" style="width:18.75pt;height:19.5pt">
            <v:imagedata r:id="rId30" o:title=""/>
          </v:shape>
        </w:pict>
      </w:r>
      <w:r>
        <w:rPr>
          <w:rFonts w:ascii="Calibri" w:hAnsi="Calibri" w:cs="Calibri"/>
        </w:rPr>
        <w:t xml:space="preserve"> на напряжении i и (или) в диапазоне максимальной мощности j, включая Заявителей, подающих заявку в целях временного (на срок не более 6 месяцев) технологического присоединения принадлежащих ему энергопринимающих устройств для обеспечения электрической энергией передвижных объектов с максимальной мощностью до 100 кВт включительно (с учетом ранее присоединенной в данной точке присоединения максимальной мощности), устанавливается уполномоченным органом исполнительной власти в области государственного регулирования тарифов на основании данных, представленных сетевой организацией в соответствии с </w:t>
      </w:r>
      <w:hyperlink w:anchor="Par271" w:history="1">
        <w:r>
          <w:rPr>
            <w:rFonts w:ascii="Calibri" w:hAnsi="Calibri" w:cs="Calibri"/>
            <w:color w:val="0000FF"/>
          </w:rPr>
          <w:t>Приложением N 2</w:t>
        </w:r>
      </w:hyperlink>
      <w:r>
        <w:rPr>
          <w:rFonts w:ascii="Calibri" w:hAnsi="Calibri" w:cs="Calibri"/>
        </w:rPr>
        <w:t xml:space="preserve"> к Методическим указаниям по формуле:</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32"/>
        </w:rPr>
        <w:lastRenderedPageBreak/>
        <w:pict>
          <v:shape id="_x0000_i1030" type="#_x0000_t75" style="width:45.75pt;height:36.75pt">
            <v:imagedata r:id="rId31" o:title=""/>
          </v:shape>
        </w:pict>
      </w:r>
      <w:r>
        <w:rPr>
          <w:rFonts w:ascii="Calibri" w:hAnsi="Calibri" w:cs="Calibri"/>
        </w:rPr>
        <w:t xml:space="preserve"> (руб./кВт) (2)</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31" type="#_x0000_t75" style="width:13.5pt;height:19.5pt">
            <v:imagedata r:id="rId32" o:title=""/>
          </v:shape>
        </w:pict>
      </w:r>
      <w:r>
        <w:rPr>
          <w:rFonts w:ascii="Calibri" w:hAnsi="Calibri" w:cs="Calibri"/>
        </w:rPr>
        <w:t xml:space="preserve"> - расходы на технологические присоединения планируемого на период регулирования объема мощности на уровне напряжения i и (или) в диапазоне мощности j по каждому мероприятию, указанному в </w:t>
      </w:r>
      <w:hyperlink w:anchor="Par271" w:history="1">
        <w:r>
          <w:rPr>
            <w:rFonts w:ascii="Calibri" w:hAnsi="Calibri" w:cs="Calibri"/>
            <w:color w:val="0000FF"/>
          </w:rPr>
          <w:t>Приложении N 2</w:t>
        </w:r>
      </w:hyperlink>
      <w:r>
        <w:rPr>
          <w:rFonts w:ascii="Calibri" w:hAnsi="Calibri" w:cs="Calibri"/>
        </w:rPr>
        <w:t xml:space="preserve"> к Методическим указаниям;</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32" type="#_x0000_t75" style="width:17.25pt;height:19.5pt">
            <v:imagedata r:id="rId33" o:title=""/>
          </v:shape>
        </w:pict>
      </w:r>
      <w:r>
        <w:rPr>
          <w:rFonts w:ascii="Calibri" w:hAnsi="Calibri" w:cs="Calibri"/>
        </w:rPr>
        <w:t xml:space="preserve"> - плановая мощность технологических присоединений на уровне напряжения i и (или) в диапазоне максимальной мощности) (кВт) по каждому мероприятию на период регулирования.</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Ставка за единицу максимальной мощности j (руб./кВт) на осуществление организационных мероприятий, указанных в </w:t>
      </w:r>
      <w:hyperlink w:anchor="Par287" w:history="1">
        <w:r>
          <w:rPr>
            <w:rFonts w:ascii="Calibri" w:hAnsi="Calibri" w:cs="Calibri"/>
            <w:color w:val="0000FF"/>
          </w:rPr>
          <w:t>пунктах 1</w:t>
        </w:r>
      </w:hyperlink>
      <w:r>
        <w:rPr>
          <w:rFonts w:ascii="Calibri" w:hAnsi="Calibri" w:cs="Calibri"/>
        </w:rPr>
        <w:t xml:space="preserve">, </w:t>
      </w:r>
      <w:hyperlink w:anchor="Par328" w:history="1">
        <w:r>
          <w:rPr>
            <w:rFonts w:ascii="Calibri" w:hAnsi="Calibri" w:cs="Calibri"/>
            <w:color w:val="0000FF"/>
          </w:rPr>
          <w:t>4</w:t>
        </w:r>
      </w:hyperlink>
      <w:r>
        <w:rPr>
          <w:rFonts w:ascii="Calibri" w:hAnsi="Calibri" w:cs="Calibri"/>
        </w:rPr>
        <w:t xml:space="preserve">, </w:t>
      </w:r>
      <w:hyperlink w:anchor="Par332" w:history="1">
        <w:r>
          <w:rPr>
            <w:rFonts w:ascii="Calibri" w:hAnsi="Calibri" w:cs="Calibri"/>
            <w:color w:val="0000FF"/>
          </w:rPr>
          <w:t>5</w:t>
        </w:r>
      </w:hyperlink>
      <w:r>
        <w:rPr>
          <w:rFonts w:ascii="Calibri" w:hAnsi="Calibri" w:cs="Calibri"/>
        </w:rPr>
        <w:t xml:space="preserve">, </w:t>
      </w:r>
      <w:hyperlink w:anchor="Par338" w:history="1">
        <w:r>
          <w:rPr>
            <w:rFonts w:ascii="Calibri" w:hAnsi="Calibri" w:cs="Calibri"/>
            <w:color w:val="0000FF"/>
          </w:rPr>
          <w:t>6 Приложения N 2</w:t>
        </w:r>
      </w:hyperlink>
      <w:r>
        <w:rPr>
          <w:rFonts w:ascii="Calibri" w:hAnsi="Calibri" w:cs="Calibri"/>
        </w:rPr>
        <w:t xml:space="preserve"> к Методическим указаниям, определяется на период регулирования на уровне значения стандартизированной тарифной ставки С1, указанной в </w:t>
      </w:r>
      <w:hyperlink w:anchor="Par142" w:history="1">
        <w:r>
          <w:rPr>
            <w:rFonts w:ascii="Calibri" w:hAnsi="Calibri" w:cs="Calibri"/>
            <w:color w:val="0000FF"/>
          </w:rPr>
          <w:t>п. 30</w:t>
        </w:r>
      </w:hyperlink>
      <w:r>
        <w:rPr>
          <w:rFonts w:ascii="Calibri" w:hAnsi="Calibri" w:cs="Calibri"/>
        </w:rPr>
        <w:t xml:space="preserve"> Методических указаний.</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Ставки по мероприятиям "последней мили", указанным в Приложении N 2 (</w:t>
      </w:r>
      <w:hyperlink w:anchor="Par304" w:history="1">
        <w:r>
          <w:rPr>
            <w:rFonts w:ascii="Calibri" w:hAnsi="Calibri" w:cs="Calibri"/>
            <w:color w:val="0000FF"/>
          </w:rPr>
          <w:t>пункты 3.1</w:t>
        </w:r>
      </w:hyperlink>
      <w:r>
        <w:rPr>
          <w:rFonts w:ascii="Calibri" w:hAnsi="Calibri" w:cs="Calibri"/>
        </w:rPr>
        <w:t xml:space="preserve"> - </w:t>
      </w:r>
      <w:hyperlink w:anchor="Par307" w:history="1">
        <w:r>
          <w:rPr>
            <w:rFonts w:ascii="Calibri" w:hAnsi="Calibri" w:cs="Calibri"/>
            <w:color w:val="0000FF"/>
          </w:rPr>
          <w:t>3.2</w:t>
        </w:r>
      </w:hyperlink>
      <w:r>
        <w:rPr>
          <w:rFonts w:ascii="Calibri" w:hAnsi="Calibri" w:cs="Calibri"/>
        </w:rPr>
        <w:t>) к Методическим указаниям на строительство воздушных или кабельных линий определяются на период регулирования по формуле:</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32"/>
        </w:rPr>
        <w:pict>
          <v:shape id="_x0000_i1033" type="#_x0000_t75" style="width:60pt;height:36.75pt">
            <v:imagedata r:id="rId34" o:title=""/>
          </v:shape>
        </w:pict>
      </w:r>
      <w:r>
        <w:rPr>
          <w:rFonts w:ascii="Calibri" w:hAnsi="Calibri" w:cs="Calibri"/>
        </w:rPr>
        <w:t xml:space="preserve"> (руб./кВт) (3), где</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34" type="#_x0000_t75" style="width:25.5pt;height:19.5pt">
            <v:imagedata r:id="rId35" o:title=""/>
          </v:shape>
        </w:pict>
      </w:r>
      <w:r>
        <w:rPr>
          <w:rFonts w:ascii="Calibri" w:hAnsi="Calibri" w:cs="Calibri"/>
        </w:rPr>
        <w:t xml:space="preserve"> - стандартизированные тарифные ставки на покрытие расходов сетевой организации на строительство воздушных и кабельных линий электропередачи на i-м уровне напряжения согласно </w:t>
      </w:r>
      <w:hyperlink w:anchor="Par197" w:history="1">
        <w:r>
          <w:rPr>
            <w:rFonts w:ascii="Calibri" w:hAnsi="Calibri" w:cs="Calibri"/>
            <w:color w:val="0000FF"/>
          </w:rPr>
          <w:t>Приложению N 1</w:t>
        </w:r>
      </w:hyperlink>
      <w:r>
        <w:rPr>
          <w:rFonts w:ascii="Calibri" w:hAnsi="Calibri" w:cs="Calibri"/>
        </w:rPr>
        <w:t xml:space="preserve"> к Методическим указаниям в расчете на 1 км линий (руб./км), утвержденные регулирующим органом на период регулирования, указанные в </w:t>
      </w:r>
      <w:hyperlink w:anchor="Par142" w:history="1">
        <w:r>
          <w:rPr>
            <w:rFonts w:ascii="Calibri" w:hAnsi="Calibri" w:cs="Calibri"/>
            <w:color w:val="0000FF"/>
          </w:rPr>
          <w:t>п. 30</w:t>
        </w:r>
      </w:hyperlink>
      <w:r>
        <w:rPr>
          <w:rFonts w:ascii="Calibri" w:hAnsi="Calibri" w:cs="Calibri"/>
        </w:rPr>
        <w:t xml:space="preserve"> Методических указаний;</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35" type="#_x0000_t75" style="width:25.5pt;height:19.5pt">
            <v:imagedata r:id="rId36" o:title=""/>
          </v:shape>
        </w:pict>
      </w:r>
      <w:r>
        <w:rPr>
          <w:rFonts w:ascii="Calibri" w:hAnsi="Calibri" w:cs="Calibri"/>
        </w:rPr>
        <w:t xml:space="preserve"> - плановая длина воздушных и кабельных линий электропередачи на i-м уровне напряжения, рассчитанная как среднеарифметическое значение длины фактически построенных за последние 3 года воздушных и кабельных линий (км);</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36" type="#_x0000_t75" style="width:27pt;height:19.5pt">
            <v:imagedata r:id="rId37" o:title=""/>
          </v:shape>
        </w:pict>
      </w:r>
      <w:r>
        <w:rPr>
          <w:rFonts w:ascii="Calibri" w:hAnsi="Calibri" w:cs="Calibri"/>
        </w:rPr>
        <w:t xml:space="preserve"> - плановый объем максимальной мощности, присоединяемой путем строительства воздушных или кабельных линий, рассчитанный как среднеарифметическое из объемов фактически присоединенной мощности за последние 3 года соответственно воздушными и кабельными линиями (кВт).</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Ставки за единицу максимальной мощности (руб./кВт), на осуществление мероприятий (</w:t>
      </w:r>
      <w:hyperlink w:anchor="Par313" w:history="1">
        <w:r>
          <w:rPr>
            <w:rFonts w:ascii="Calibri" w:hAnsi="Calibri" w:cs="Calibri"/>
            <w:color w:val="0000FF"/>
          </w:rPr>
          <w:t>п. 3.4</w:t>
        </w:r>
      </w:hyperlink>
      <w:r>
        <w:rPr>
          <w:rFonts w:ascii="Calibri" w:hAnsi="Calibri" w:cs="Calibri"/>
        </w:rPr>
        <w:t xml:space="preserve">, </w:t>
      </w:r>
      <w:hyperlink w:anchor="Par323" w:history="1">
        <w:r>
          <w:rPr>
            <w:rFonts w:ascii="Calibri" w:hAnsi="Calibri" w:cs="Calibri"/>
            <w:color w:val="0000FF"/>
          </w:rPr>
          <w:t>3.5 Приложения N 2</w:t>
        </w:r>
      </w:hyperlink>
      <w:r>
        <w:rPr>
          <w:rFonts w:ascii="Calibri" w:hAnsi="Calibri" w:cs="Calibri"/>
        </w:rPr>
        <w:t xml:space="preserve"> к Методическим указаниям), связанные со строительством пунктов секционирования, комплектных трансформаторных подстанций (КТП), распределительных трансформаторных подстанций (РТП) с уровнем напряжения до 35 кВ, центров питания, подстанций уровнем напряжения 35 кВ и выше (ПС), принимаются на период регулирования равными значению стандартизированной тарифной ставки С4, указанной в </w:t>
      </w:r>
      <w:hyperlink w:anchor="Par142" w:history="1">
        <w:r>
          <w:rPr>
            <w:rFonts w:ascii="Calibri" w:hAnsi="Calibri" w:cs="Calibri"/>
            <w:color w:val="0000FF"/>
          </w:rPr>
          <w:t>п. 30</w:t>
        </w:r>
      </w:hyperlink>
      <w:r>
        <w:rPr>
          <w:rFonts w:ascii="Calibri" w:hAnsi="Calibri" w:cs="Calibri"/>
        </w:rPr>
        <w:t xml:space="preserve"> Методических указаний.</w:t>
      </w:r>
    </w:p>
    <w:p w:rsidR="00B47F99" w:rsidRDefault="00B47F99">
      <w:pPr>
        <w:widowControl w:val="0"/>
        <w:autoSpaceDE w:val="0"/>
        <w:autoSpaceDN w:val="0"/>
        <w:adjustRightInd w:val="0"/>
        <w:spacing w:after="0" w:line="240" w:lineRule="auto"/>
        <w:ind w:firstLine="540"/>
        <w:jc w:val="both"/>
        <w:rPr>
          <w:rFonts w:ascii="Calibri" w:hAnsi="Calibri" w:cs="Calibri"/>
        </w:rPr>
      </w:pPr>
      <w:bookmarkStart w:id="15" w:name="Par126"/>
      <w:bookmarkEnd w:id="15"/>
      <w:r>
        <w:rPr>
          <w:rFonts w:ascii="Calibri" w:hAnsi="Calibri" w:cs="Calibri"/>
        </w:rPr>
        <w:t>26. Размер платы за технологическое присоединение (</w:t>
      </w:r>
      <w:r>
        <w:rPr>
          <w:rFonts w:ascii="Calibri" w:hAnsi="Calibri" w:cs="Calibri"/>
          <w:position w:val="-14"/>
        </w:rPr>
        <w:pict>
          <v:shape id="_x0000_i1037" type="#_x0000_t75" style="width:13.5pt;height:19.5pt">
            <v:imagedata r:id="rId38" o:title=""/>
          </v:shape>
        </w:pict>
      </w:r>
      <w:r>
        <w:rPr>
          <w:rFonts w:ascii="Calibri" w:hAnsi="Calibri" w:cs="Calibri"/>
        </w:rPr>
        <w:t xml:space="preserve">) для конкретного Заявителя определяется сетевой организацией на основании утвержденных регулирующим органом отдельных ставок по каждому мероприятию </w:t>
      </w:r>
      <w:hyperlink w:anchor="Par271" w:history="1">
        <w:r>
          <w:rPr>
            <w:rFonts w:ascii="Calibri" w:hAnsi="Calibri" w:cs="Calibri"/>
            <w:color w:val="0000FF"/>
          </w:rPr>
          <w:t>Приложения N 2</w:t>
        </w:r>
      </w:hyperlink>
      <w:r>
        <w:rPr>
          <w:rFonts w:ascii="Calibri" w:hAnsi="Calibri" w:cs="Calibri"/>
        </w:rPr>
        <w:t xml:space="preserve"> к Методическим указаниям, исходя из суммы затрат, рассчитанных по ставкам за технологическое присоединение </w:t>
      </w:r>
      <w:r>
        <w:rPr>
          <w:rFonts w:ascii="Calibri" w:hAnsi="Calibri" w:cs="Calibri"/>
          <w:position w:val="-14"/>
        </w:rPr>
        <w:pict>
          <v:shape id="_x0000_i1038" type="#_x0000_t75" style="width:15pt;height:19.5pt">
            <v:imagedata r:id="rId39" o:title=""/>
          </v:shape>
        </w:pict>
      </w:r>
      <w:r>
        <w:rPr>
          <w:rFonts w:ascii="Calibri" w:hAnsi="Calibri" w:cs="Calibri"/>
        </w:rPr>
        <w:t xml:space="preserve"> (мероприятия </w:t>
      </w:r>
      <w:hyperlink w:anchor="Par287" w:history="1">
        <w:r>
          <w:rPr>
            <w:rFonts w:ascii="Calibri" w:hAnsi="Calibri" w:cs="Calibri"/>
            <w:color w:val="0000FF"/>
          </w:rPr>
          <w:t>1</w:t>
        </w:r>
      </w:hyperlink>
      <w:r>
        <w:rPr>
          <w:rFonts w:ascii="Calibri" w:hAnsi="Calibri" w:cs="Calibri"/>
        </w:rPr>
        <w:t xml:space="preserve">, </w:t>
      </w:r>
      <w:hyperlink w:anchor="Par328" w:history="1">
        <w:r>
          <w:rPr>
            <w:rFonts w:ascii="Calibri" w:hAnsi="Calibri" w:cs="Calibri"/>
            <w:color w:val="0000FF"/>
          </w:rPr>
          <w:t>4</w:t>
        </w:r>
      </w:hyperlink>
      <w:r>
        <w:rPr>
          <w:rFonts w:ascii="Calibri" w:hAnsi="Calibri" w:cs="Calibri"/>
        </w:rPr>
        <w:t xml:space="preserve">, </w:t>
      </w:r>
      <w:hyperlink w:anchor="Par332" w:history="1">
        <w:r>
          <w:rPr>
            <w:rFonts w:ascii="Calibri" w:hAnsi="Calibri" w:cs="Calibri"/>
            <w:color w:val="0000FF"/>
          </w:rPr>
          <w:t>5</w:t>
        </w:r>
      </w:hyperlink>
      <w:r>
        <w:rPr>
          <w:rFonts w:ascii="Calibri" w:hAnsi="Calibri" w:cs="Calibri"/>
        </w:rPr>
        <w:t xml:space="preserve">, </w:t>
      </w:r>
      <w:hyperlink w:anchor="Par338" w:history="1">
        <w:r>
          <w:rPr>
            <w:rFonts w:ascii="Calibri" w:hAnsi="Calibri" w:cs="Calibri"/>
            <w:color w:val="0000FF"/>
          </w:rPr>
          <w:t>6</w:t>
        </w:r>
      </w:hyperlink>
      <w:r>
        <w:rPr>
          <w:rFonts w:ascii="Calibri" w:hAnsi="Calibri" w:cs="Calibri"/>
        </w:rPr>
        <w:t xml:space="preserve"> указанного Приложения) и ставки (ставок) по мероприятиям "последней мили", реализуемым сетевой организацией для подключения конкретного Заявителя, умноженной на объем максимальной мощности, указанный Заявителем в заявке на технологическое присоединение (</w:t>
      </w:r>
      <w:r>
        <w:rPr>
          <w:rFonts w:ascii="Calibri" w:hAnsi="Calibri" w:cs="Calibri"/>
          <w:position w:val="-14"/>
        </w:rPr>
        <w:pict>
          <v:shape id="_x0000_i1039" type="#_x0000_t75" style="width:17.25pt;height:19.5pt">
            <v:imagedata r:id="rId40" o:title=""/>
          </v:shape>
        </w:pict>
      </w:r>
      <w:r>
        <w:rPr>
          <w:rFonts w:ascii="Calibri" w:hAnsi="Calibri" w:cs="Calibri"/>
        </w:rPr>
        <w:t>) на уровне напряжения i и (или) диапазоне мощности j (руб./кВт).</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каждого конкретного Заявителя при определении размера платы на основании утвержденных регулирующим органом ставок платы применяются те ставки (</w:t>
      </w:r>
      <w:hyperlink w:anchor="Par304" w:history="1">
        <w:r>
          <w:rPr>
            <w:rFonts w:ascii="Calibri" w:hAnsi="Calibri" w:cs="Calibri"/>
            <w:color w:val="0000FF"/>
          </w:rPr>
          <w:t>пункты 3.1</w:t>
        </w:r>
      </w:hyperlink>
      <w:r>
        <w:rPr>
          <w:rFonts w:ascii="Calibri" w:hAnsi="Calibri" w:cs="Calibri"/>
        </w:rPr>
        <w:t xml:space="preserve"> - </w:t>
      </w:r>
      <w:hyperlink w:anchor="Par313" w:history="1">
        <w:r>
          <w:rPr>
            <w:rFonts w:ascii="Calibri" w:hAnsi="Calibri" w:cs="Calibri"/>
            <w:color w:val="0000FF"/>
          </w:rPr>
          <w:t xml:space="preserve">3.4 </w:t>
        </w:r>
        <w:r>
          <w:rPr>
            <w:rFonts w:ascii="Calibri" w:hAnsi="Calibri" w:cs="Calibri"/>
            <w:color w:val="0000FF"/>
          </w:rPr>
          <w:lastRenderedPageBreak/>
          <w:t>Приложения N 2</w:t>
        </w:r>
      </w:hyperlink>
      <w:r>
        <w:rPr>
          <w:rFonts w:ascii="Calibri" w:hAnsi="Calibri" w:cs="Calibri"/>
        </w:rPr>
        <w:t>), которые согласно поданной заявке соответствуют способу технологического присоединения.</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Размер платы за технологическое присоединение энергопринимающих устройств определяется с учетом запрашиваемой Заявителем категории надежности электроснабжения.</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В случае если Заявитель при технологическом присоединении запрашивает третью категорию надежности электроснабжения, что предполагает технологическое присоединение к одному источнику энергоснабжения, размер платы за технологическое присоединение для него определяется согласно </w:t>
      </w:r>
      <w:hyperlink w:anchor="Par126" w:history="1">
        <w:r>
          <w:rPr>
            <w:rFonts w:ascii="Calibri" w:hAnsi="Calibri" w:cs="Calibri"/>
            <w:color w:val="0000FF"/>
          </w:rPr>
          <w:t>п. 26</w:t>
        </w:r>
      </w:hyperlink>
      <w:r>
        <w:rPr>
          <w:rFonts w:ascii="Calibri" w:hAnsi="Calibri" w:cs="Calibri"/>
        </w:rPr>
        <w:t xml:space="preserve"> Методических указаний.</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В случае если Заявитель при технологическом присоединении запрашивает вторую или первую категорию надежности электроснабжения, что предполагает технологическое присоединение к двум независимым источникам энергоснабжения, то размер платы за технологическое присоединение (</w:t>
      </w:r>
      <w:r>
        <w:rPr>
          <w:rFonts w:ascii="Calibri" w:hAnsi="Calibri" w:cs="Calibri"/>
          <w:position w:val="-12"/>
        </w:rPr>
        <w:pict>
          <v:shape id="_x0000_i1040" type="#_x0000_t75" style="width:24pt;height:18.75pt">
            <v:imagedata r:id="rId41" o:title=""/>
          </v:shape>
        </w:pict>
      </w:r>
      <w:r>
        <w:rPr>
          <w:rFonts w:ascii="Calibri" w:hAnsi="Calibri" w:cs="Calibri"/>
        </w:rPr>
        <w:t>) определяется следующим образом:</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41" type="#_x0000_t75" style="width:119.25pt;height:18.75pt">
            <v:imagedata r:id="rId42" o:title=""/>
          </v:shape>
        </w:pict>
      </w:r>
      <w:r>
        <w:rPr>
          <w:rFonts w:ascii="Calibri" w:hAnsi="Calibri" w:cs="Calibri"/>
        </w:rPr>
        <w:t>, (руб.) (4)</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 - расходы на технологическое присоединение связанные с проведением мероприятий, указанных в </w:t>
      </w:r>
      <w:hyperlink w:anchor="Par68" w:history="1">
        <w:r>
          <w:rPr>
            <w:rFonts w:ascii="Calibri" w:hAnsi="Calibri" w:cs="Calibri"/>
            <w:color w:val="0000FF"/>
          </w:rPr>
          <w:t>пункте 16</w:t>
        </w:r>
      </w:hyperlink>
      <w:r>
        <w:rPr>
          <w:rFonts w:ascii="Calibri" w:hAnsi="Calibri" w:cs="Calibri"/>
        </w:rPr>
        <w:t xml:space="preserve"> Методических указаний, не включающие в себя расходы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(руб.);</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42" type="#_x0000_t75" style="width:24pt;height:18.75pt">
            <v:imagedata r:id="rId43" o:title=""/>
          </v:shape>
        </w:pict>
      </w:r>
      <w:r>
        <w:rPr>
          <w:rFonts w:ascii="Calibri" w:hAnsi="Calibri" w:cs="Calibri"/>
        </w:rPr>
        <w:t xml:space="preserve"> - расходы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Заявителя и (или) объектов электроэнергетики, определяемые по первому независимому источнику энергоснабжения в соответствии с </w:t>
      </w:r>
      <w:hyperlink w:anchor="Par179" w:history="1">
        <w:r>
          <w:rPr>
            <w:rFonts w:ascii="Calibri" w:hAnsi="Calibri" w:cs="Calibri"/>
            <w:color w:val="0000FF"/>
          </w:rPr>
          <w:t>Главой V</w:t>
        </w:r>
      </w:hyperlink>
      <w:r>
        <w:rPr>
          <w:rFonts w:ascii="Calibri" w:hAnsi="Calibri" w:cs="Calibri"/>
        </w:rPr>
        <w:t xml:space="preserve"> согласно </w:t>
      </w:r>
      <w:hyperlink w:anchor="Par197" w:history="1">
        <w:r>
          <w:rPr>
            <w:rFonts w:ascii="Calibri" w:hAnsi="Calibri" w:cs="Calibri"/>
            <w:color w:val="0000FF"/>
          </w:rPr>
          <w:t>Приложению N 1</w:t>
        </w:r>
      </w:hyperlink>
      <w:r>
        <w:rPr>
          <w:rFonts w:ascii="Calibri" w:hAnsi="Calibri" w:cs="Calibri"/>
        </w:rPr>
        <w:t xml:space="preserve"> к Методическим указаниям по мероприятиям, осуществляемым для конкретного присоединения в зависимости от способа присоединения и уровня запрашиваемого напряжения на основании выданных сетевой организацией технических условий (руб.);</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43" type="#_x0000_t75" style="width:24.75pt;height:18.75pt">
            <v:imagedata r:id="rId44" o:title=""/>
          </v:shape>
        </w:pict>
      </w:r>
      <w:r>
        <w:rPr>
          <w:rFonts w:ascii="Calibri" w:hAnsi="Calibri" w:cs="Calibri"/>
        </w:rPr>
        <w:t xml:space="preserve"> - расходы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Заявителя и (или) объектов электроэнергетики, определяемые по второму независимому источнику энергоснабжения в соответствии с </w:t>
      </w:r>
      <w:hyperlink w:anchor="Par179" w:history="1">
        <w:r>
          <w:rPr>
            <w:rFonts w:ascii="Calibri" w:hAnsi="Calibri" w:cs="Calibri"/>
            <w:color w:val="0000FF"/>
          </w:rPr>
          <w:t>Главой V</w:t>
        </w:r>
      </w:hyperlink>
      <w:r>
        <w:rPr>
          <w:rFonts w:ascii="Calibri" w:hAnsi="Calibri" w:cs="Calibri"/>
        </w:rPr>
        <w:t xml:space="preserve"> согласно </w:t>
      </w:r>
      <w:hyperlink w:anchor="Par197" w:history="1">
        <w:r>
          <w:rPr>
            <w:rFonts w:ascii="Calibri" w:hAnsi="Calibri" w:cs="Calibri"/>
            <w:color w:val="0000FF"/>
          </w:rPr>
          <w:t>Приложению N 1</w:t>
        </w:r>
      </w:hyperlink>
      <w:r>
        <w:rPr>
          <w:rFonts w:ascii="Calibri" w:hAnsi="Calibri" w:cs="Calibri"/>
        </w:rPr>
        <w:t xml:space="preserve"> к Методическим указаниям по мероприятиям, осуществляемым для конкретного присоединения в зависимости от способа присоединения и уровня запрашиваемого напряжения на основании выданных сетевой организацией технических условий (руб.).</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jc w:val="center"/>
        <w:outlineLvl w:val="1"/>
        <w:rPr>
          <w:rFonts w:ascii="Calibri" w:hAnsi="Calibri" w:cs="Calibri"/>
        </w:rPr>
      </w:pPr>
      <w:bookmarkStart w:id="16" w:name="Par139"/>
      <w:bookmarkEnd w:id="16"/>
      <w:r>
        <w:rPr>
          <w:rFonts w:ascii="Calibri" w:hAnsi="Calibri" w:cs="Calibri"/>
        </w:rPr>
        <w:t>IV. Расчет платы за технологическое присоединение</w:t>
      </w:r>
    </w:p>
    <w:p w:rsidR="00B47F99" w:rsidRDefault="00B47F99">
      <w:pPr>
        <w:widowControl w:val="0"/>
        <w:autoSpaceDE w:val="0"/>
        <w:autoSpaceDN w:val="0"/>
        <w:adjustRightInd w:val="0"/>
        <w:spacing w:after="0" w:line="240" w:lineRule="auto"/>
        <w:jc w:val="center"/>
        <w:rPr>
          <w:rFonts w:ascii="Calibri" w:hAnsi="Calibri" w:cs="Calibri"/>
        </w:rPr>
      </w:pPr>
      <w:r>
        <w:rPr>
          <w:rFonts w:ascii="Calibri" w:hAnsi="Calibri" w:cs="Calibri"/>
        </w:rPr>
        <w:t>посредством применения стандартизированных тарифных ставок</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bookmarkStart w:id="17" w:name="Par142"/>
      <w:bookmarkEnd w:id="17"/>
      <w:r>
        <w:rPr>
          <w:rFonts w:ascii="Calibri" w:hAnsi="Calibri" w:cs="Calibri"/>
        </w:rPr>
        <w:t xml:space="preserve">30. Для расчета платы за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на уровне напряжения i (руб.) посредством применения стандартизированных тарифных ставок, включающих расходы по мероприятиям, указанным в </w:t>
      </w:r>
      <w:hyperlink w:anchor="Par68" w:history="1">
        <w:r>
          <w:rPr>
            <w:rFonts w:ascii="Calibri" w:hAnsi="Calibri" w:cs="Calibri"/>
            <w:color w:val="0000FF"/>
          </w:rPr>
          <w:t>пункте 16</w:t>
        </w:r>
      </w:hyperlink>
      <w:r>
        <w:rPr>
          <w:rFonts w:ascii="Calibri" w:hAnsi="Calibri" w:cs="Calibri"/>
        </w:rPr>
        <w:t xml:space="preserve"> Методических указаний (кроме </w:t>
      </w:r>
      <w:hyperlink w:anchor="Par70" w:history="1">
        <w:r>
          <w:rPr>
            <w:rFonts w:ascii="Calibri" w:hAnsi="Calibri" w:cs="Calibri"/>
            <w:color w:val="0000FF"/>
          </w:rPr>
          <w:t>подпунктов "б"</w:t>
        </w:r>
      </w:hyperlink>
      <w:r>
        <w:rPr>
          <w:rFonts w:ascii="Calibri" w:hAnsi="Calibri" w:cs="Calibri"/>
        </w:rPr>
        <w:t xml:space="preserve"> и </w:t>
      </w:r>
      <w:hyperlink w:anchor="Par71" w:history="1">
        <w:r>
          <w:rPr>
            <w:rFonts w:ascii="Calibri" w:hAnsi="Calibri" w:cs="Calibri"/>
            <w:color w:val="0000FF"/>
          </w:rPr>
          <w:t>"в"</w:t>
        </w:r>
      </w:hyperlink>
      <w:r>
        <w:rPr>
          <w:rFonts w:ascii="Calibri" w:hAnsi="Calibri" w:cs="Calibri"/>
        </w:rPr>
        <w:t xml:space="preserve">), и расходы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потребителей, определяемых по каждому мероприятию, утвержденному </w:t>
      </w:r>
      <w:hyperlink w:anchor="Par197" w:history="1">
        <w:r>
          <w:rPr>
            <w:rFonts w:ascii="Calibri" w:hAnsi="Calibri" w:cs="Calibri"/>
            <w:color w:val="0000FF"/>
          </w:rPr>
          <w:t>Приложением N 1</w:t>
        </w:r>
      </w:hyperlink>
      <w:r>
        <w:rPr>
          <w:rFonts w:ascii="Calibri" w:hAnsi="Calibri" w:cs="Calibri"/>
        </w:rPr>
        <w:t xml:space="preserve"> к Методическим указаниям, при осуществлении технологического присоединения планируемого годового объема мощности утверждается следующий перечень стандартизированных тарифных ставок:</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44" type="#_x0000_t75" style="width:13.5pt;height:18.75pt">
            <v:imagedata r:id="rId45" o:title=""/>
          </v:shape>
        </w:pict>
      </w:r>
      <w:r>
        <w:rPr>
          <w:rFonts w:ascii="Calibri" w:hAnsi="Calibri" w:cs="Calibri"/>
        </w:rPr>
        <w:t xml:space="preserve"> - стандартизированная тарифная ставка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по мероприятиям, указанным в </w:t>
      </w:r>
      <w:hyperlink w:anchor="Par68" w:history="1">
        <w:r>
          <w:rPr>
            <w:rFonts w:ascii="Calibri" w:hAnsi="Calibri" w:cs="Calibri"/>
            <w:color w:val="0000FF"/>
          </w:rPr>
          <w:t>пункте 16</w:t>
        </w:r>
      </w:hyperlink>
      <w:r>
        <w:rPr>
          <w:rFonts w:ascii="Calibri" w:hAnsi="Calibri" w:cs="Calibri"/>
        </w:rPr>
        <w:t xml:space="preserve"> Методических указаний (кроме </w:t>
      </w:r>
      <w:hyperlink w:anchor="Par70" w:history="1">
        <w:r>
          <w:rPr>
            <w:rFonts w:ascii="Calibri" w:hAnsi="Calibri" w:cs="Calibri"/>
            <w:color w:val="0000FF"/>
          </w:rPr>
          <w:t>подпунктов "б"</w:t>
        </w:r>
      </w:hyperlink>
      <w:r>
        <w:rPr>
          <w:rFonts w:ascii="Calibri" w:hAnsi="Calibri" w:cs="Calibri"/>
        </w:rPr>
        <w:t xml:space="preserve"> и </w:t>
      </w:r>
      <w:hyperlink w:anchor="Par71" w:history="1">
        <w:r>
          <w:rPr>
            <w:rFonts w:ascii="Calibri" w:hAnsi="Calibri" w:cs="Calibri"/>
            <w:color w:val="0000FF"/>
          </w:rPr>
          <w:t>"в"</w:t>
        </w:r>
      </w:hyperlink>
      <w:r>
        <w:rPr>
          <w:rFonts w:ascii="Calibri" w:hAnsi="Calibri" w:cs="Calibri"/>
        </w:rPr>
        <w:t xml:space="preserve">), в </w:t>
      </w:r>
      <w:r>
        <w:rPr>
          <w:rFonts w:ascii="Calibri" w:hAnsi="Calibri" w:cs="Calibri"/>
        </w:rPr>
        <w:lastRenderedPageBreak/>
        <w:t>расчете на 1 кВт максимальной мощности (руб./кВт);</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45" type="#_x0000_t75" style="width:19.5pt;height:19.5pt">
            <v:imagedata r:id="rId46" o:title=""/>
          </v:shape>
        </w:pict>
      </w:r>
      <w:r>
        <w:rPr>
          <w:rFonts w:ascii="Calibri" w:hAnsi="Calibri" w:cs="Calibri"/>
        </w:rPr>
        <w:t xml:space="preserve"> - стандартизированная тарифная ставка на покрытие расходов сетевой организации на строительство воздушных линий электропередачи на i-м уровне напряжения согласно </w:t>
      </w:r>
      <w:hyperlink w:anchor="Par197" w:history="1">
        <w:r>
          <w:rPr>
            <w:rFonts w:ascii="Calibri" w:hAnsi="Calibri" w:cs="Calibri"/>
            <w:color w:val="0000FF"/>
          </w:rPr>
          <w:t>Приложению N 1</w:t>
        </w:r>
      </w:hyperlink>
      <w:r>
        <w:rPr>
          <w:rFonts w:ascii="Calibri" w:hAnsi="Calibri" w:cs="Calibri"/>
        </w:rPr>
        <w:t xml:space="preserve"> к Методическим указаниям в расчете на 1 км линий (руб./км);</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46" type="#_x0000_t75" style="width:19.5pt;height:19.5pt">
            <v:imagedata r:id="rId47" o:title=""/>
          </v:shape>
        </w:pict>
      </w:r>
      <w:r>
        <w:rPr>
          <w:rFonts w:ascii="Calibri" w:hAnsi="Calibri" w:cs="Calibri"/>
        </w:rPr>
        <w:t xml:space="preserve"> - стандартизированная тарифная ставка на покрытие расходов сетевой организации на строительство кабельных линий электропередачи на i-м уровне напряжения согласно </w:t>
      </w:r>
      <w:hyperlink w:anchor="Par197" w:history="1">
        <w:r>
          <w:rPr>
            <w:rFonts w:ascii="Calibri" w:hAnsi="Calibri" w:cs="Calibri"/>
            <w:color w:val="0000FF"/>
          </w:rPr>
          <w:t>Приложению N 1</w:t>
        </w:r>
      </w:hyperlink>
      <w:r>
        <w:rPr>
          <w:rFonts w:ascii="Calibri" w:hAnsi="Calibri" w:cs="Calibri"/>
        </w:rPr>
        <w:t xml:space="preserve"> к Методическим указаниям в расчете на 1 км линий (руб./км);</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47" type="#_x0000_t75" style="width:19.5pt;height:19.5pt">
            <v:imagedata r:id="rId48" o:title=""/>
          </v:shape>
        </w:pict>
      </w:r>
      <w:r>
        <w:rPr>
          <w:rFonts w:ascii="Calibri" w:hAnsi="Calibri" w:cs="Calibri"/>
        </w:rPr>
        <w:t xml:space="preserve"> - стандартизированная тарифная ставка на покрытие расходов сетевой организации на строительство подстанций согласно </w:t>
      </w:r>
      <w:hyperlink w:anchor="Par197" w:history="1">
        <w:r>
          <w:rPr>
            <w:rFonts w:ascii="Calibri" w:hAnsi="Calibri" w:cs="Calibri"/>
            <w:color w:val="0000FF"/>
          </w:rPr>
          <w:t>Приложению N 1</w:t>
        </w:r>
      </w:hyperlink>
      <w:r>
        <w:rPr>
          <w:rFonts w:ascii="Calibri" w:hAnsi="Calibri" w:cs="Calibri"/>
        </w:rPr>
        <w:t xml:space="preserve"> к Методическим указаниям на i-м уровне напряжения (руб./кВт).</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осуществлении технологических присоединений к ЕНЭС применяются стандартизированные тарифные ставки, утвержденные Федеральной службой по тарифам, определенные исходя из сметно-нормативной базы ценообразования 2001 года.</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Расчет стандартизированных тарифных ставок:</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Стандартизированная тарифная ставка </w:t>
      </w:r>
      <w:r>
        <w:rPr>
          <w:rFonts w:ascii="Calibri" w:hAnsi="Calibri" w:cs="Calibri"/>
          <w:position w:val="-12"/>
        </w:rPr>
        <w:pict>
          <v:shape id="_x0000_i1048" type="#_x0000_t75" style="width:13.5pt;height:18.75pt">
            <v:imagedata r:id="rId45" o:title=""/>
          </v:shape>
        </w:pict>
      </w:r>
      <w:r>
        <w:rPr>
          <w:rFonts w:ascii="Calibri" w:hAnsi="Calibri" w:cs="Calibri"/>
        </w:rPr>
        <w:t xml:space="preserve"> рассчитывается по следующей формуле:</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24"/>
        </w:rPr>
        <w:pict>
          <v:shape id="_x0000_i1049" type="#_x0000_t75" style="width:39.75pt;height:31.5pt">
            <v:imagedata r:id="rId49" o:title=""/>
          </v:shape>
        </w:pict>
      </w:r>
      <w:r>
        <w:rPr>
          <w:rFonts w:ascii="Calibri" w:hAnsi="Calibri" w:cs="Calibri"/>
        </w:rPr>
        <w:t xml:space="preserve"> (руб./кВт) (5)</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pict>
          <v:shape id="_x0000_i1050" type="#_x0000_t75" style="width:11.25pt;height:18.75pt">
            <v:imagedata r:id="rId50" o:title=""/>
          </v:shape>
        </w:pict>
      </w:r>
      <w:r>
        <w:rPr>
          <w:rFonts w:ascii="Calibri" w:hAnsi="Calibri" w:cs="Calibri"/>
        </w:rPr>
        <w:t xml:space="preserve"> - суммарный расход на технологическое присоединение планируемого годового объема мощности, рассчитанный по мероприятиям, указанным в </w:t>
      </w:r>
      <w:hyperlink w:anchor="Par68" w:history="1">
        <w:r>
          <w:rPr>
            <w:rFonts w:ascii="Calibri" w:hAnsi="Calibri" w:cs="Calibri"/>
            <w:color w:val="0000FF"/>
          </w:rPr>
          <w:t>пункте 16</w:t>
        </w:r>
      </w:hyperlink>
      <w:r>
        <w:rPr>
          <w:rFonts w:ascii="Calibri" w:hAnsi="Calibri" w:cs="Calibri"/>
        </w:rPr>
        <w:t xml:space="preserve"> (кроме </w:t>
      </w:r>
      <w:hyperlink w:anchor="Par70" w:history="1">
        <w:r>
          <w:rPr>
            <w:rFonts w:ascii="Calibri" w:hAnsi="Calibri" w:cs="Calibri"/>
            <w:color w:val="0000FF"/>
          </w:rPr>
          <w:t>подпунктов "б"</w:t>
        </w:r>
      </w:hyperlink>
      <w:r>
        <w:rPr>
          <w:rFonts w:ascii="Calibri" w:hAnsi="Calibri" w:cs="Calibri"/>
        </w:rPr>
        <w:t xml:space="preserve"> и </w:t>
      </w:r>
      <w:hyperlink w:anchor="Par71" w:history="1">
        <w:r>
          <w:rPr>
            <w:rFonts w:ascii="Calibri" w:hAnsi="Calibri" w:cs="Calibri"/>
            <w:color w:val="0000FF"/>
          </w:rPr>
          <w:t>"в"</w:t>
        </w:r>
      </w:hyperlink>
      <w:r>
        <w:rPr>
          <w:rFonts w:ascii="Calibri" w:hAnsi="Calibri" w:cs="Calibri"/>
        </w:rPr>
        <w:t xml:space="preserve">) Методических указаний, по ставкам </w:t>
      </w:r>
      <w:hyperlink w:anchor="Par287" w:history="1">
        <w:r>
          <w:rPr>
            <w:rFonts w:ascii="Calibri" w:hAnsi="Calibri" w:cs="Calibri"/>
            <w:color w:val="0000FF"/>
          </w:rPr>
          <w:t>пунктов 1</w:t>
        </w:r>
      </w:hyperlink>
      <w:r>
        <w:rPr>
          <w:rFonts w:ascii="Calibri" w:hAnsi="Calibri" w:cs="Calibri"/>
        </w:rPr>
        <w:t xml:space="preserve">, </w:t>
      </w:r>
      <w:hyperlink w:anchor="Par328" w:history="1">
        <w:r>
          <w:rPr>
            <w:rFonts w:ascii="Calibri" w:hAnsi="Calibri" w:cs="Calibri"/>
            <w:color w:val="0000FF"/>
          </w:rPr>
          <w:t>4</w:t>
        </w:r>
      </w:hyperlink>
      <w:r>
        <w:rPr>
          <w:rFonts w:ascii="Calibri" w:hAnsi="Calibri" w:cs="Calibri"/>
        </w:rPr>
        <w:t xml:space="preserve">, </w:t>
      </w:r>
      <w:hyperlink w:anchor="Par332" w:history="1">
        <w:r>
          <w:rPr>
            <w:rFonts w:ascii="Calibri" w:hAnsi="Calibri" w:cs="Calibri"/>
            <w:color w:val="0000FF"/>
          </w:rPr>
          <w:t>5</w:t>
        </w:r>
      </w:hyperlink>
      <w:r>
        <w:rPr>
          <w:rFonts w:ascii="Calibri" w:hAnsi="Calibri" w:cs="Calibri"/>
        </w:rPr>
        <w:t xml:space="preserve">, </w:t>
      </w:r>
      <w:hyperlink w:anchor="Par338" w:history="1">
        <w:r>
          <w:rPr>
            <w:rFonts w:ascii="Calibri" w:hAnsi="Calibri" w:cs="Calibri"/>
            <w:color w:val="0000FF"/>
          </w:rPr>
          <w:t>6 Приложения N 2</w:t>
        </w:r>
      </w:hyperlink>
      <w:r>
        <w:rPr>
          <w:rFonts w:ascii="Calibri" w:hAnsi="Calibri" w:cs="Calibri"/>
        </w:rPr>
        <w:t xml:space="preserve"> в ценах периода регулирования (руб./кВт);</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N - объем планируемой годовой максимальной мощности (кВт);</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Стандартизированные тарифные ставки </w:t>
      </w:r>
      <w:r>
        <w:rPr>
          <w:rFonts w:ascii="Calibri" w:hAnsi="Calibri" w:cs="Calibri"/>
          <w:position w:val="-14"/>
        </w:rPr>
        <w:pict>
          <v:shape id="_x0000_i1051" type="#_x0000_t75" style="width:19.5pt;height:19.5pt">
            <v:imagedata r:id="rId46" o:title=""/>
          </v:shape>
        </w:pict>
      </w:r>
      <w:r>
        <w:rPr>
          <w:rFonts w:ascii="Calibri" w:hAnsi="Calibri" w:cs="Calibri"/>
        </w:rPr>
        <w:t xml:space="preserve">, </w:t>
      </w:r>
      <w:r>
        <w:rPr>
          <w:rFonts w:ascii="Calibri" w:hAnsi="Calibri" w:cs="Calibri"/>
          <w:position w:val="-14"/>
        </w:rPr>
        <w:pict>
          <v:shape id="_x0000_i1052" type="#_x0000_t75" style="width:19.5pt;height:19.5pt">
            <v:imagedata r:id="rId47" o:title=""/>
          </v:shape>
        </w:pict>
      </w:r>
      <w:r>
        <w:rPr>
          <w:rFonts w:ascii="Calibri" w:hAnsi="Calibri" w:cs="Calibri"/>
        </w:rPr>
        <w:t xml:space="preserve">, </w:t>
      </w:r>
      <w:r>
        <w:rPr>
          <w:rFonts w:ascii="Calibri" w:hAnsi="Calibri" w:cs="Calibri"/>
          <w:position w:val="-14"/>
        </w:rPr>
        <w:pict>
          <v:shape id="_x0000_i1053" type="#_x0000_t75" style="width:19.5pt;height:19.5pt">
            <v:imagedata r:id="rId48" o:title=""/>
          </v:shape>
        </w:pict>
      </w:r>
      <w:r>
        <w:rPr>
          <w:rFonts w:ascii="Calibri" w:hAnsi="Calibri" w:cs="Calibri"/>
        </w:rPr>
        <w:t xml:space="preserve"> рассчитываются по следующим формулам:</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30"/>
        </w:rPr>
        <w:pict>
          <v:shape id="_x0000_i1054" type="#_x0000_t75" style="width:52.5pt;height:35.25pt">
            <v:imagedata r:id="rId51" o:title=""/>
          </v:shape>
        </w:pict>
      </w:r>
      <w:r>
        <w:rPr>
          <w:rFonts w:ascii="Calibri" w:hAnsi="Calibri" w:cs="Calibri"/>
        </w:rPr>
        <w:t xml:space="preserve"> (руб./км) (6)</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30"/>
        </w:rPr>
        <w:pict>
          <v:shape id="_x0000_i1055" type="#_x0000_t75" style="width:52.5pt;height:35.25pt">
            <v:imagedata r:id="rId52" o:title=""/>
          </v:shape>
        </w:pict>
      </w:r>
      <w:r>
        <w:rPr>
          <w:rFonts w:ascii="Calibri" w:hAnsi="Calibri" w:cs="Calibri"/>
        </w:rPr>
        <w:t xml:space="preserve"> (руб./км) (7)</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30"/>
        </w:rPr>
        <w:pict>
          <v:shape id="_x0000_i1056" type="#_x0000_t75" style="width:52.5pt;height:35.25pt">
            <v:imagedata r:id="rId53" o:title=""/>
          </v:shape>
        </w:pict>
      </w:r>
      <w:r>
        <w:rPr>
          <w:rFonts w:ascii="Calibri" w:hAnsi="Calibri" w:cs="Calibri"/>
        </w:rPr>
        <w:t xml:space="preserve"> (руб./кВт) (8)</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57" type="#_x0000_t75" style="width:17.25pt;height:19.5pt">
            <v:imagedata r:id="rId54" o:title=""/>
          </v:shape>
        </w:pict>
      </w:r>
      <w:r>
        <w:rPr>
          <w:rFonts w:ascii="Calibri" w:hAnsi="Calibri" w:cs="Calibri"/>
        </w:rPr>
        <w:t xml:space="preserve"> - расходы на строительство воздушных линий электропередачи на i-м уровне напряжения в ценах того года и для того субъекта Российской Федерации, данные по которым используются для расчета, в расчете на 1 км линий (руб./км);</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58" type="#_x0000_t75" style="width:17.25pt;height:19.5pt">
            <v:imagedata r:id="rId55" o:title=""/>
          </v:shape>
        </w:pict>
      </w:r>
      <w:r>
        <w:rPr>
          <w:rFonts w:ascii="Calibri" w:hAnsi="Calibri" w:cs="Calibri"/>
        </w:rPr>
        <w:t xml:space="preserve"> - расходы на строительство кабельных линий электропередачи на i-м уровне напряжения, в ценах того года и для того субъекта Российской Федерации, данные по которым используются для расчета, в расчете на 1 км линий (руб./км);</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4"/>
        </w:rPr>
        <w:pict>
          <v:shape id="_x0000_i1059" type="#_x0000_t75" style="width:17.25pt;height:19.5pt">
            <v:imagedata r:id="rId56" o:title=""/>
          </v:shape>
        </w:pict>
      </w:r>
      <w:r>
        <w:rPr>
          <w:rFonts w:ascii="Calibri" w:hAnsi="Calibri" w:cs="Calibri"/>
        </w:rPr>
        <w:t xml:space="preserve"> - расходы на строительство подстанций на i-м уровне напряжения в ценах того года и для того субъекта Российской Федерации, данные по которым используются для расчета, в расчете на каждую линию (руб.)</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position w:val="-12"/>
        </w:rPr>
        <w:lastRenderedPageBreak/>
        <w:pict>
          <v:shape id="_x0000_i1060" type="#_x0000_t75" style="width:21.75pt;height:19.5pt">
            <v:imagedata r:id="rId57" o:title=""/>
          </v:shape>
        </w:pict>
      </w:r>
      <w:r>
        <w:rPr>
          <w:rFonts w:ascii="Calibri" w:hAnsi="Calibri" w:cs="Calibri"/>
        </w:rPr>
        <w:t xml:space="preserve"> - индекс изменения сметной стоимости строительно-монтажных работ для субъекта Российской Федерации на квартал, предшествующий кварталу, данные по которым используются для расчета, к федеральным единичным расценкам 2001 года, рекомендуемый Министерством регионального развития Российской Федерации в рамках реализации полномочий в области сметного нормирования и ценообразования в сфере градостроительной деятельности.</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Расходы </w:t>
      </w:r>
      <w:r>
        <w:rPr>
          <w:rFonts w:ascii="Calibri" w:hAnsi="Calibri" w:cs="Calibri"/>
          <w:position w:val="-14"/>
        </w:rPr>
        <w:pict>
          <v:shape id="_x0000_i1061" type="#_x0000_t75" style="width:17.25pt;height:19.5pt">
            <v:imagedata r:id="rId54" o:title=""/>
          </v:shape>
        </w:pict>
      </w:r>
      <w:r>
        <w:rPr>
          <w:rFonts w:ascii="Calibri" w:hAnsi="Calibri" w:cs="Calibri"/>
        </w:rPr>
        <w:t xml:space="preserve">, </w:t>
      </w:r>
      <w:r>
        <w:rPr>
          <w:rFonts w:ascii="Calibri" w:hAnsi="Calibri" w:cs="Calibri"/>
          <w:position w:val="-14"/>
        </w:rPr>
        <w:pict>
          <v:shape id="_x0000_i1062" type="#_x0000_t75" style="width:17.25pt;height:19.5pt">
            <v:imagedata r:id="rId55" o:title=""/>
          </v:shape>
        </w:pict>
      </w:r>
      <w:r>
        <w:rPr>
          <w:rFonts w:ascii="Calibri" w:hAnsi="Calibri" w:cs="Calibri"/>
        </w:rPr>
        <w:t xml:space="preserve">, </w:t>
      </w:r>
      <w:r>
        <w:rPr>
          <w:rFonts w:ascii="Calibri" w:hAnsi="Calibri" w:cs="Calibri"/>
          <w:position w:val="-14"/>
        </w:rPr>
        <w:pict>
          <v:shape id="_x0000_i1063" type="#_x0000_t75" style="width:17.25pt;height:19.5pt">
            <v:imagedata r:id="rId56" o:title=""/>
          </v:shape>
        </w:pict>
      </w:r>
      <w:r>
        <w:rPr>
          <w:rFonts w:ascii="Calibri" w:hAnsi="Calibri" w:cs="Calibri"/>
        </w:rPr>
        <w:t xml:space="preserve"> определяются с учетом строительно-монтажных работ сметных норм дополнительных затрат по температурным зонам по строительству электрических подстанций </w:t>
      </w:r>
      <w:r>
        <w:rPr>
          <w:rFonts w:ascii="Calibri" w:hAnsi="Calibri" w:cs="Calibri"/>
          <w:position w:val="-12"/>
        </w:rPr>
        <w:pict>
          <v:shape id="_x0000_i1064" type="#_x0000_t75" style="width:35.25pt;height:19.5pt">
            <v:imagedata r:id="rId58" o:title=""/>
          </v:shape>
        </w:pict>
      </w:r>
      <w:r>
        <w:rPr>
          <w:rFonts w:ascii="Calibri" w:hAnsi="Calibri" w:cs="Calibri"/>
        </w:rPr>
        <w:t>, установленных для температурной зоны субъекта Российской Федерации.</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Стандартизированные тарифные ставки утверждаются регулирующим органом в ценах 2001 г. Указанные ставки применяются с учетом индекса изменения сметной стоимости по строительно-монтажным работам для субъекта Российской Федерации, данные по которым используются для расчета, к федеральным единичным расценкам 2001 года, рекомендуемым Министерством регионального развития Российской Федерации в рамках реализации полномочий в области сметного нормирования и ценообразования в сфере градостроительной деятельности.</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применении стандартизированных тарифных ставок для расчета платы за технологическое присоединение используются показатели, участвующие в расчете, согласно выданным техническим условиям.</w:t>
      </w:r>
    </w:p>
    <w:p w:rsidR="00B47F99" w:rsidRDefault="00B47F99">
      <w:pPr>
        <w:widowControl w:val="0"/>
        <w:autoSpaceDE w:val="0"/>
        <w:autoSpaceDN w:val="0"/>
        <w:adjustRightInd w:val="0"/>
        <w:spacing w:after="0" w:line="240" w:lineRule="auto"/>
        <w:ind w:firstLine="540"/>
        <w:jc w:val="both"/>
        <w:rPr>
          <w:rFonts w:ascii="Calibri" w:hAnsi="Calibri" w:cs="Calibri"/>
        </w:rPr>
      </w:pPr>
      <w:bookmarkStart w:id="18" w:name="Par172"/>
      <w:bookmarkEnd w:id="18"/>
      <w:r>
        <w:rPr>
          <w:rFonts w:ascii="Calibri" w:hAnsi="Calibri" w:cs="Calibri"/>
        </w:rPr>
        <w:t xml:space="preserve">32. Плата за технологическое присоединение в виде формулы утверждается регулирующим органом исходя из стандартизированных тарифных ставок и способа технологического присоединения к электрическим сетям сетевой организации и реализации соответствующих мероприятий, определенных </w:t>
      </w:r>
      <w:hyperlink w:anchor="Par197" w:history="1">
        <w:r>
          <w:rPr>
            <w:rFonts w:ascii="Calibri" w:hAnsi="Calibri" w:cs="Calibri"/>
            <w:color w:val="0000FF"/>
          </w:rPr>
          <w:t>Приложением N 1</w:t>
        </w:r>
      </w:hyperlink>
      <w:r>
        <w:rPr>
          <w:rFonts w:ascii="Calibri" w:hAnsi="Calibri" w:cs="Calibri"/>
        </w:rPr>
        <w:t xml:space="preserve"> к Методическим указаниям, следующим образом:</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если отсутствует необходимость реализации мероприятий "последней мили", то формула платы определяется как произведение стандартизированной тарифной ставки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по мероприятиям, указанным в </w:t>
      </w:r>
      <w:hyperlink w:anchor="Par68" w:history="1">
        <w:r>
          <w:rPr>
            <w:rFonts w:ascii="Calibri" w:hAnsi="Calibri" w:cs="Calibri"/>
            <w:color w:val="0000FF"/>
          </w:rPr>
          <w:t>пункте 16</w:t>
        </w:r>
      </w:hyperlink>
      <w:r>
        <w:rPr>
          <w:rFonts w:ascii="Calibri" w:hAnsi="Calibri" w:cs="Calibri"/>
        </w:rPr>
        <w:t xml:space="preserve"> Методических указаний (кроме </w:t>
      </w:r>
      <w:hyperlink w:anchor="Par70" w:history="1">
        <w:r>
          <w:rPr>
            <w:rFonts w:ascii="Calibri" w:hAnsi="Calibri" w:cs="Calibri"/>
            <w:color w:val="0000FF"/>
          </w:rPr>
          <w:t>подпунктов "б"</w:t>
        </w:r>
      </w:hyperlink>
      <w:r>
        <w:rPr>
          <w:rFonts w:ascii="Calibri" w:hAnsi="Calibri" w:cs="Calibri"/>
        </w:rPr>
        <w:t xml:space="preserve"> и </w:t>
      </w:r>
      <w:hyperlink w:anchor="Par71" w:history="1">
        <w:r>
          <w:rPr>
            <w:rFonts w:ascii="Calibri" w:hAnsi="Calibri" w:cs="Calibri"/>
            <w:color w:val="0000FF"/>
          </w:rPr>
          <w:t>"в"</w:t>
        </w:r>
      </w:hyperlink>
      <w:r>
        <w:rPr>
          <w:rFonts w:ascii="Calibri" w:hAnsi="Calibri" w:cs="Calibri"/>
        </w:rPr>
        <w:t>), (С1) и объема максимальной мощности (Ni), указанного в заявке на технологическое присоединение Заявителем;</w:t>
      </w:r>
    </w:p>
    <w:p w:rsidR="00B47F99" w:rsidRDefault="00B47F99">
      <w:pPr>
        <w:widowControl w:val="0"/>
        <w:autoSpaceDE w:val="0"/>
        <w:autoSpaceDN w:val="0"/>
        <w:adjustRightInd w:val="0"/>
        <w:spacing w:after="0" w:line="240" w:lineRule="auto"/>
        <w:ind w:firstLine="540"/>
        <w:jc w:val="both"/>
        <w:rPr>
          <w:rFonts w:ascii="Calibri" w:hAnsi="Calibri" w:cs="Calibri"/>
        </w:rPr>
      </w:pPr>
      <w:bookmarkStart w:id="19" w:name="Par174"/>
      <w:bookmarkEnd w:id="19"/>
      <w:r>
        <w:rPr>
          <w:rFonts w:ascii="Calibri" w:hAnsi="Calibri" w:cs="Calibri"/>
        </w:rPr>
        <w:t>б) если при технологическом присоединении Заявителя согласно техническим условиям предусматривается мероприятие "последней мили" по прокладке воздушных и (или) кабельных линий, то формула платы определяется как сумма произведений стандартизированной тарифной ставки С1 и объема максимальной мощности (Ni), указанного в заявке на технологическое присоединение Заявителем, и стандартизированной тарифной ставки на покрытие расходов сетевой организации на строительство воздушных (С2) и (или) кабельных линий (С3) электропередачи на i-м уровне напряжения и суммарной протяженности воздушных и (или) кабельных линий (Li) на i-том уровне напряжения, строительство которых предусмотрено согласно выданных технических условий для технологического присоединения Заявителя (км).;</w:t>
      </w:r>
    </w:p>
    <w:p w:rsidR="00B47F99" w:rsidRDefault="00B47F99">
      <w:pPr>
        <w:widowControl w:val="0"/>
        <w:autoSpaceDE w:val="0"/>
        <w:autoSpaceDN w:val="0"/>
        <w:adjustRightInd w:val="0"/>
        <w:spacing w:after="0" w:line="240" w:lineRule="auto"/>
        <w:ind w:firstLine="540"/>
        <w:jc w:val="both"/>
        <w:rPr>
          <w:rFonts w:ascii="Calibri" w:hAnsi="Calibri" w:cs="Calibri"/>
        </w:rPr>
      </w:pPr>
      <w:bookmarkStart w:id="20" w:name="Par175"/>
      <w:bookmarkEnd w:id="20"/>
      <w:r>
        <w:rPr>
          <w:rFonts w:ascii="Calibri" w:hAnsi="Calibri" w:cs="Calibri"/>
        </w:rPr>
        <w:t xml:space="preserve">в) если при технологическом присоединении Заявителя согласно техническим условиям предусматриваются мероприятия "последней мили" по строительству комплектных трансформаторных подстанций (КТП), распределительных трансформаторных подстанций (РТП) с уровнем напряжения до 35 кВ и на строительство центров питания, подстанций уровнем напряжения 35 кВ и выше (ПС), то формула платы определяется как сумма расходов, определенных в соответствии с </w:t>
      </w:r>
      <w:hyperlink w:anchor="Par174" w:history="1">
        <w:r>
          <w:rPr>
            <w:rFonts w:ascii="Calibri" w:hAnsi="Calibri" w:cs="Calibri"/>
            <w:color w:val="0000FF"/>
          </w:rPr>
          <w:t>подпунктом "б"</w:t>
        </w:r>
      </w:hyperlink>
      <w:r>
        <w:rPr>
          <w:rFonts w:ascii="Calibri" w:hAnsi="Calibri" w:cs="Calibri"/>
        </w:rPr>
        <w:t xml:space="preserve"> и произведения ставки С4, указанной в </w:t>
      </w:r>
      <w:hyperlink w:anchor="Par142" w:history="1">
        <w:r>
          <w:rPr>
            <w:rFonts w:ascii="Calibri" w:hAnsi="Calibri" w:cs="Calibri"/>
            <w:color w:val="0000FF"/>
          </w:rPr>
          <w:t>п. 30</w:t>
        </w:r>
      </w:hyperlink>
      <w:r>
        <w:rPr>
          <w:rFonts w:ascii="Calibri" w:hAnsi="Calibri" w:cs="Calibri"/>
        </w:rPr>
        <w:t xml:space="preserve"> Методических указаний, и объема максимальной мощности (Ni), указанного в заявке на технологическое присоединение Заявителем.</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Рассчитанная плата по </w:t>
      </w:r>
      <w:hyperlink w:anchor="Par174" w:history="1">
        <w:r>
          <w:rPr>
            <w:rFonts w:ascii="Calibri" w:hAnsi="Calibri" w:cs="Calibri"/>
            <w:color w:val="0000FF"/>
          </w:rPr>
          <w:t>подпунктам "б"</w:t>
        </w:r>
      </w:hyperlink>
      <w:r>
        <w:rPr>
          <w:rFonts w:ascii="Calibri" w:hAnsi="Calibri" w:cs="Calibri"/>
        </w:rPr>
        <w:t xml:space="preserve"> и </w:t>
      </w:r>
      <w:hyperlink w:anchor="Par175" w:history="1">
        <w:r>
          <w:rPr>
            <w:rFonts w:ascii="Calibri" w:hAnsi="Calibri" w:cs="Calibri"/>
            <w:color w:val="0000FF"/>
          </w:rPr>
          <w:t>"в"</w:t>
        </w:r>
      </w:hyperlink>
      <w:r>
        <w:rPr>
          <w:rFonts w:ascii="Calibri" w:hAnsi="Calibri" w:cs="Calibri"/>
        </w:rPr>
        <w:t xml:space="preserve"> настоящего пункта в ценах 2001 года приводится к ценам регулируемого периода с применением индекса изменения сметной стоимости (Zизм.ст) по строительно-монтажным работам для субъекта Российской Федерации, в котором располагаются существующие узловые подстанции, к которым предполагается технологическое присоединение Устройств, на квартал, предшествующий кварталу, в котором утверждается плата за технологическое присоединение, к федеральным единичным расценкам 2001 года, </w:t>
      </w:r>
      <w:r>
        <w:rPr>
          <w:rFonts w:ascii="Calibri" w:hAnsi="Calibri" w:cs="Calibri"/>
        </w:rPr>
        <w:lastRenderedPageBreak/>
        <w:t>рекомендуемого Министерством регионального развития Российской Федерации в рамках реализации полномочий в области сметного нормирования и ценообразования в сфере градостроительной деятельности.</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 платы для каждого присоединения рассчитывается сетевой организацией в соответствии с утвержденной формулой.</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jc w:val="center"/>
        <w:outlineLvl w:val="1"/>
        <w:rPr>
          <w:rFonts w:ascii="Calibri" w:hAnsi="Calibri" w:cs="Calibri"/>
        </w:rPr>
      </w:pPr>
      <w:bookmarkStart w:id="21" w:name="Par179"/>
      <w:bookmarkEnd w:id="21"/>
      <w:r>
        <w:rPr>
          <w:rFonts w:ascii="Calibri" w:hAnsi="Calibri" w:cs="Calibri"/>
        </w:rPr>
        <w:t>V. Определение состава расходов на строительство</w:t>
      </w:r>
    </w:p>
    <w:p w:rsidR="00B47F99" w:rsidRDefault="00B47F99">
      <w:pPr>
        <w:widowControl w:val="0"/>
        <w:autoSpaceDE w:val="0"/>
        <w:autoSpaceDN w:val="0"/>
        <w:adjustRightInd w:val="0"/>
        <w:spacing w:after="0" w:line="240" w:lineRule="auto"/>
        <w:jc w:val="center"/>
        <w:rPr>
          <w:rFonts w:ascii="Calibri" w:hAnsi="Calibri" w:cs="Calibri"/>
        </w:rPr>
      </w:pPr>
      <w:r>
        <w:rPr>
          <w:rFonts w:ascii="Calibri" w:hAnsi="Calibri" w:cs="Calibri"/>
        </w:rPr>
        <w:t>объектов электросетевого хозяйства - от существующих</w:t>
      </w:r>
    </w:p>
    <w:p w:rsidR="00B47F99" w:rsidRDefault="00B47F99">
      <w:pPr>
        <w:widowControl w:val="0"/>
        <w:autoSpaceDE w:val="0"/>
        <w:autoSpaceDN w:val="0"/>
        <w:adjustRightInd w:val="0"/>
        <w:spacing w:after="0" w:line="240" w:lineRule="auto"/>
        <w:jc w:val="center"/>
        <w:rPr>
          <w:rFonts w:ascii="Calibri" w:hAnsi="Calibri" w:cs="Calibri"/>
        </w:rPr>
      </w:pPr>
      <w:r>
        <w:rPr>
          <w:rFonts w:ascii="Calibri" w:hAnsi="Calibri" w:cs="Calibri"/>
        </w:rPr>
        <w:t>объектов электросетевого хозяйства до присоединяемых</w:t>
      </w:r>
    </w:p>
    <w:p w:rsidR="00B47F99" w:rsidRDefault="00B47F99">
      <w:pPr>
        <w:widowControl w:val="0"/>
        <w:autoSpaceDE w:val="0"/>
        <w:autoSpaceDN w:val="0"/>
        <w:adjustRightInd w:val="0"/>
        <w:spacing w:after="0" w:line="240" w:lineRule="auto"/>
        <w:jc w:val="center"/>
        <w:rPr>
          <w:rFonts w:ascii="Calibri" w:hAnsi="Calibri" w:cs="Calibri"/>
        </w:rPr>
      </w:pPr>
      <w:r>
        <w:rPr>
          <w:rFonts w:ascii="Calibri" w:hAnsi="Calibri" w:cs="Calibri"/>
        </w:rPr>
        <w:t>энергопринимающих устройств и (или) объектов</w:t>
      </w:r>
    </w:p>
    <w:p w:rsidR="00B47F99" w:rsidRDefault="00B47F99">
      <w:pPr>
        <w:widowControl w:val="0"/>
        <w:autoSpaceDE w:val="0"/>
        <w:autoSpaceDN w:val="0"/>
        <w:adjustRightInd w:val="0"/>
        <w:spacing w:after="0" w:line="240" w:lineRule="auto"/>
        <w:jc w:val="center"/>
        <w:rPr>
          <w:rFonts w:ascii="Calibri" w:hAnsi="Calibri" w:cs="Calibri"/>
        </w:rPr>
      </w:pPr>
      <w:r>
        <w:rPr>
          <w:rFonts w:ascii="Calibri" w:hAnsi="Calibri" w:cs="Calibri"/>
        </w:rPr>
        <w:t>электроэнергетики, включаемых в состав платы</w:t>
      </w:r>
    </w:p>
    <w:p w:rsidR="00B47F99" w:rsidRDefault="00B47F99">
      <w:pPr>
        <w:widowControl w:val="0"/>
        <w:autoSpaceDE w:val="0"/>
        <w:autoSpaceDN w:val="0"/>
        <w:adjustRightInd w:val="0"/>
        <w:spacing w:after="0" w:line="240" w:lineRule="auto"/>
        <w:jc w:val="center"/>
        <w:rPr>
          <w:rFonts w:ascii="Calibri" w:hAnsi="Calibri" w:cs="Calibri"/>
        </w:rPr>
      </w:pPr>
      <w:r>
        <w:rPr>
          <w:rFonts w:ascii="Calibri" w:hAnsi="Calibri" w:cs="Calibri"/>
        </w:rPr>
        <w:t>за технологическое присоединение</w:t>
      </w:r>
    </w:p>
    <w:p w:rsidR="00B47F99" w:rsidRDefault="00B47F99">
      <w:pPr>
        <w:widowControl w:val="0"/>
        <w:autoSpaceDE w:val="0"/>
        <w:autoSpaceDN w:val="0"/>
        <w:adjustRightInd w:val="0"/>
        <w:spacing w:after="0" w:line="240" w:lineRule="auto"/>
        <w:jc w:val="center"/>
        <w:rPr>
          <w:rFonts w:ascii="Calibri" w:hAnsi="Calibri" w:cs="Calibri"/>
        </w:rPr>
      </w:pPr>
      <w:r>
        <w:rPr>
          <w:rFonts w:ascii="Calibri" w:hAnsi="Calibri" w:cs="Calibri"/>
        </w:rPr>
        <w:t>к электрическим сетям</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 Состав расходов на строительство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 включаемых в состав платы за технологическое присоединение, определяется в соответствии с мероприятиями, определенными </w:t>
      </w:r>
      <w:hyperlink w:anchor="Par197" w:history="1">
        <w:r>
          <w:rPr>
            <w:rFonts w:ascii="Calibri" w:hAnsi="Calibri" w:cs="Calibri"/>
            <w:color w:val="0000FF"/>
          </w:rPr>
          <w:t>Приложением N 1</w:t>
        </w:r>
      </w:hyperlink>
      <w:r>
        <w:rPr>
          <w:rFonts w:ascii="Calibri" w:hAnsi="Calibri" w:cs="Calibri"/>
        </w:rPr>
        <w:t xml:space="preserve"> к Методическим указаниям.</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Плата за технологическое присоединение конкретного Заявителя включает в том числе расходы, рассчитываемые на основании ставок, утвержденных в соответствии с Приложением N 2 (</w:t>
      </w:r>
      <w:hyperlink w:anchor="Par292" w:history="1">
        <w:r>
          <w:rPr>
            <w:rFonts w:ascii="Calibri" w:hAnsi="Calibri" w:cs="Calibri"/>
            <w:color w:val="0000FF"/>
          </w:rPr>
          <w:t>пункты 2</w:t>
        </w:r>
      </w:hyperlink>
      <w:r>
        <w:rPr>
          <w:rFonts w:ascii="Calibri" w:hAnsi="Calibri" w:cs="Calibri"/>
        </w:rPr>
        <w:t xml:space="preserve"> и </w:t>
      </w:r>
      <w:hyperlink w:anchor="Par304" w:history="1">
        <w:r>
          <w:rPr>
            <w:rFonts w:ascii="Calibri" w:hAnsi="Calibri" w:cs="Calibri"/>
            <w:color w:val="0000FF"/>
          </w:rPr>
          <w:t>3.1</w:t>
        </w:r>
      </w:hyperlink>
      <w:r>
        <w:rPr>
          <w:rFonts w:ascii="Calibri" w:hAnsi="Calibri" w:cs="Calibri"/>
        </w:rPr>
        <w:t xml:space="preserve"> - </w:t>
      </w:r>
      <w:hyperlink w:anchor="Par313" w:history="1">
        <w:r>
          <w:rPr>
            <w:rFonts w:ascii="Calibri" w:hAnsi="Calibri" w:cs="Calibri"/>
            <w:color w:val="0000FF"/>
          </w:rPr>
          <w:t>3.4</w:t>
        </w:r>
      </w:hyperlink>
      <w:r>
        <w:rPr>
          <w:rFonts w:ascii="Calibri" w:hAnsi="Calibri" w:cs="Calibri"/>
        </w:rPr>
        <w:t>) только по мероприятиям, которые необходимо осуществить, в зависимости от присоединения энергопринимающих устройств и (или) объектов электроэнергетики на основании поданной заявки.</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jc w:val="right"/>
        <w:outlineLvl w:val="1"/>
        <w:rPr>
          <w:rFonts w:ascii="Calibri" w:hAnsi="Calibri" w:cs="Calibri"/>
        </w:rPr>
      </w:pPr>
      <w:bookmarkStart w:id="22" w:name="Par194"/>
      <w:bookmarkEnd w:id="22"/>
      <w:r>
        <w:rPr>
          <w:rFonts w:ascii="Calibri" w:hAnsi="Calibri" w:cs="Calibri"/>
        </w:rPr>
        <w:t>Приложение N 1</w:t>
      </w:r>
    </w:p>
    <w:p w:rsidR="00B47F99" w:rsidRDefault="00B47F99">
      <w:pPr>
        <w:widowControl w:val="0"/>
        <w:autoSpaceDE w:val="0"/>
        <w:autoSpaceDN w:val="0"/>
        <w:adjustRightInd w:val="0"/>
        <w:spacing w:after="0" w:line="240" w:lineRule="auto"/>
        <w:jc w:val="right"/>
        <w:rPr>
          <w:rFonts w:ascii="Calibri" w:hAnsi="Calibri" w:cs="Calibri"/>
        </w:rPr>
      </w:pPr>
      <w:r>
        <w:rPr>
          <w:rFonts w:ascii="Calibri" w:hAnsi="Calibri" w:cs="Calibri"/>
        </w:rPr>
        <w:t>к Методическим указаниям</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jc w:val="center"/>
        <w:rPr>
          <w:rFonts w:ascii="Calibri" w:hAnsi="Calibri" w:cs="Calibri"/>
        </w:rPr>
      </w:pPr>
      <w:bookmarkStart w:id="23" w:name="Par197"/>
      <w:bookmarkEnd w:id="23"/>
      <w:r>
        <w:rPr>
          <w:rFonts w:ascii="Calibri" w:hAnsi="Calibri" w:cs="Calibri"/>
        </w:rPr>
        <w:t>СОСТАВ</w:t>
      </w:r>
    </w:p>
    <w:p w:rsidR="00B47F99" w:rsidRDefault="00B47F99">
      <w:pPr>
        <w:widowControl w:val="0"/>
        <w:autoSpaceDE w:val="0"/>
        <w:autoSpaceDN w:val="0"/>
        <w:adjustRightInd w:val="0"/>
        <w:spacing w:after="0" w:line="240" w:lineRule="auto"/>
        <w:jc w:val="center"/>
        <w:rPr>
          <w:rFonts w:ascii="Calibri" w:hAnsi="Calibri" w:cs="Calibri"/>
        </w:rPr>
      </w:pPr>
      <w:r>
        <w:rPr>
          <w:rFonts w:ascii="Calibri" w:hAnsi="Calibri" w:cs="Calibri"/>
        </w:rPr>
        <w:t>РАСХОДОВ НА СТРОИТЕЛЬСТВО ОБЪЕКТОВ ЭЛЕКТРОСЕТЕВОГО</w:t>
      </w:r>
    </w:p>
    <w:p w:rsidR="00B47F99" w:rsidRDefault="00B47F99">
      <w:pPr>
        <w:widowControl w:val="0"/>
        <w:autoSpaceDE w:val="0"/>
        <w:autoSpaceDN w:val="0"/>
        <w:adjustRightInd w:val="0"/>
        <w:spacing w:after="0" w:line="240" w:lineRule="auto"/>
        <w:jc w:val="center"/>
        <w:rPr>
          <w:rFonts w:ascii="Calibri" w:hAnsi="Calibri" w:cs="Calibri"/>
        </w:rPr>
      </w:pPr>
      <w:r>
        <w:rPr>
          <w:rFonts w:ascii="Calibri" w:hAnsi="Calibri" w:cs="Calibri"/>
        </w:rPr>
        <w:t>ХОЗЯЙСТВА ОТ СУЩЕСТВУЮЩИХ ОБЪЕКТОВ ЭЛЕКТРОСЕТЕВОГО</w:t>
      </w:r>
    </w:p>
    <w:p w:rsidR="00B47F99" w:rsidRDefault="00B47F99">
      <w:pPr>
        <w:widowControl w:val="0"/>
        <w:autoSpaceDE w:val="0"/>
        <w:autoSpaceDN w:val="0"/>
        <w:adjustRightInd w:val="0"/>
        <w:spacing w:after="0" w:line="240" w:lineRule="auto"/>
        <w:jc w:val="center"/>
        <w:rPr>
          <w:rFonts w:ascii="Calibri" w:hAnsi="Calibri" w:cs="Calibri"/>
        </w:rPr>
      </w:pPr>
      <w:r>
        <w:rPr>
          <w:rFonts w:ascii="Calibri" w:hAnsi="Calibri" w:cs="Calibri"/>
        </w:rPr>
        <w:t>ХОЗЯЙСТВА ДО ПРИСОЕДИНЯЕМЫХ ЭНЕРГОПРИНИМАЮЩИХ УСТРОЙСТВ</w:t>
      </w:r>
    </w:p>
    <w:p w:rsidR="00B47F99" w:rsidRDefault="00B47F99">
      <w:pPr>
        <w:widowControl w:val="0"/>
        <w:autoSpaceDE w:val="0"/>
        <w:autoSpaceDN w:val="0"/>
        <w:adjustRightInd w:val="0"/>
        <w:spacing w:after="0" w:line="240" w:lineRule="auto"/>
        <w:jc w:val="center"/>
        <w:rPr>
          <w:rFonts w:ascii="Calibri" w:hAnsi="Calibri" w:cs="Calibri"/>
        </w:rPr>
      </w:pPr>
      <w:r>
        <w:rPr>
          <w:rFonts w:ascii="Calibri" w:hAnsi="Calibri" w:cs="Calibri"/>
        </w:rPr>
        <w:t>И (ИЛИ) ОБЪЕКТОВ ЭЛЕКТРОЭНЕРГЕТИКИ, ВКЛЮЧАЕМЫХ</w:t>
      </w:r>
    </w:p>
    <w:p w:rsidR="00B47F99" w:rsidRDefault="00B47F99">
      <w:pPr>
        <w:widowControl w:val="0"/>
        <w:autoSpaceDE w:val="0"/>
        <w:autoSpaceDN w:val="0"/>
        <w:adjustRightInd w:val="0"/>
        <w:spacing w:after="0" w:line="240" w:lineRule="auto"/>
        <w:jc w:val="center"/>
        <w:rPr>
          <w:rFonts w:ascii="Calibri" w:hAnsi="Calibri" w:cs="Calibri"/>
        </w:rPr>
      </w:pPr>
      <w:r>
        <w:rPr>
          <w:rFonts w:ascii="Calibri" w:hAnsi="Calibri" w:cs="Calibri"/>
        </w:rPr>
        <w:t>В СОСТАВ ПЛАТЫ ЗА ТЕХНОЛОГИЧЕСКОЕ ПРИСОЕДИНЕНИЕ</w:t>
      </w:r>
    </w:p>
    <w:p w:rsidR="00B47F99" w:rsidRDefault="00B47F99">
      <w:pPr>
        <w:widowControl w:val="0"/>
        <w:autoSpaceDE w:val="0"/>
        <w:autoSpaceDN w:val="0"/>
        <w:adjustRightInd w:val="0"/>
        <w:spacing w:after="0" w:line="240" w:lineRule="auto"/>
        <w:jc w:val="center"/>
        <w:rPr>
          <w:rFonts w:ascii="Calibri" w:hAnsi="Calibri" w:cs="Calibri"/>
        </w:rPr>
      </w:pPr>
      <w:r>
        <w:rPr>
          <w:rFonts w:ascii="Calibri" w:hAnsi="Calibri" w:cs="Calibri"/>
        </w:rPr>
        <w:t>К ЭЛЕКТРИЧЕСКИМ СЕТЯМ В ЗАВИСИМОСТИ ОТ СПОСОБА</w:t>
      </w:r>
    </w:p>
    <w:p w:rsidR="00B47F99" w:rsidRDefault="00B47F99">
      <w:pPr>
        <w:widowControl w:val="0"/>
        <w:autoSpaceDE w:val="0"/>
        <w:autoSpaceDN w:val="0"/>
        <w:adjustRightInd w:val="0"/>
        <w:spacing w:after="0" w:line="240" w:lineRule="auto"/>
        <w:jc w:val="center"/>
        <w:rPr>
          <w:rFonts w:ascii="Calibri" w:hAnsi="Calibri" w:cs="Calibri"/>
        </w:rPr>
      </w:pPr>
      <w:r>
        <w:rPr>
          <w:rFonts w:ascii="Calibri" w:hAnsi="Calibri" w:cs="Calibri"/>
        </w:rPr>
        <w:t>ТЕХНОЛОГИЧЕСКОГО ПРИСОЕДИНЕНИЯ</w:t>
      </w:r>
    </w:p>
    <w:p w:rsidR="00B47F99" w:rsidRDefault="00B47F99">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2014"/>
        <w:gridCol w:w="1802"/>
        <w:gridCol w:w="1802"/>
        <w:gridCol w:w="1802"/>
        <w:gridCol w:w="1802"/>
      </w:tblGrid>
      <w:tr w:rsidR="00B47F99">
        <w:tblPrEx>
          <w:tblCellMar>
            <w:top w:w="0" w:type="dxa"/>
            <w:bottom w:w="0" w:type="dxa"/>
          </w:tblCellMar>
        </w:tblPrEx>
        <w:trPr>
          <w:trHeight w:val="720"/>
          <w:tblCellSpacing w:w="5" w:type="nil"/>
        </w:trPr>
        <w:tc>
          <w:tcPr>
            <w:tcW w:w="2014" w:type="dxa"/>
            <w:vMerge w:val="restart"/>
            <w:tcBorders>
              <w:top w:val="single" w:sz="8" w:space="0" w:color="auto"/>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Состав расходов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по мероприятиям </w:t>
            </w:r>
          </w:p>
        </w:tc>
        <w:tc>
          <w:tcPr>
            <w:tcW w:w="3604" w:type="dxa"/>
            <w:gridSpan w:val="2"/>
            <w:tcBorders>
              <w:top w:val="single" w:sz="8" w:space="0" w:color="auto"/>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Присоединение объектов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Заявителя к ячейке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(ТП, РТП, РП, ПС)       </w:t>
            </w:r>
          </w:p>
        </w:tc>
        <w:tc>
          <w:tcPr>
            <w:tcW w:w="3604" w:type="dxa"/>
            <w:gridSpan w:val="2"/>
            <w:tcBorders>
              <w:top w:val="single" w:sz="8" w:space="0" w:color="auto"/>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Присоединение объектов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Заявителя к линии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электропередачи (ЛЭП)     </w:t>
            </w:r>
          </w:p>
        </w:tc>
      </w:tr>
      <w:tr w:rsidR="00B47F99">
        <w:tblPrEx>
          <w:tblCellMar>
            <w:top w:w="0" w:type="dxa"/>
            <w:bottom w:w="0" w:type="dxa"/>
          </w:tblCellMar>
        </w:tblPrEx>
        <w:trPr>
          <w:trHeight w:val="2520"/>
          <w:tblCellSpacing w:w="5" w:type="nil"/>
        </w:trPr>
        <w:tc>
          <w:tcPr>
            <w:tcW w:w="2014" w:type="dxa"/>
            <w:vMerge/>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ind w:firstLine="540"/>
              <w:jc w:val="both"/>
              <w:rPr>
                <w:rFonts w:ascii="Calibri" w:hAnsi="Calibri" w:cs="Calibri"/>
              </w:rPr>
            </w:pPr>
          </w:p>
        </w:tc>
        <w:tc>
          <w:tcPr>
            <w:tcW w:w="180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уровень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напряжения,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указанный в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заявке,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соответствует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напряжению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присоединения к</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существующему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объекту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электросетевого</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хозяйства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(трансформация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напряжения не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lastRenderedPageBreak/>
              <w:t xml:space="preserve">  требуется)   </w:t>
            </w:r>
          </w:p>
        </w:tc>
        <w:tc>
          <w:tcPr>
            <w:tcW w:w="180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lastRenderedPageBreak/>
              <w:t xml:space="preserve">    уровень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напряжения,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указанный в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заявке, не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соответствует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напряжению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присоединения к</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существующему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объекту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электросетевого</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хозяйства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(трансформация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напряжения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lastRenderedPageBreak/>
              <w:t xml:space="preserve">  требуется)   </w:t>
            </w:r>
          </w:p>
        </w:tc>
        <w:tc>
          <w:tcPr>
            <w:tcW w:w="180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lastRenderedPageBreak/>
              <w:t xml:space="preserve">    уровень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напряжения,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указанный в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заявке,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соответствует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напряжению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присоединения к</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существующему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объекту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электросетевого</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хозяйства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(трансформация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напряжения не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lastRenderedPageBreak/>
              <w:t xml:space="preserve">  требуется)   </w:t>
            </w:r>
          </w:p>
        </w:tc>
        <w:tc>
          <w:tcPr>
            <w:tcW w:w="180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lastRenderedPageBreak/>
              <w:t xml:space="preserve">    уровень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напряжения,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указанный в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заявке, не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соответствует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напряжению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присоединения к</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существующему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объекту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электросетевого</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хозяйства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(трансформация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напряжения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lastRenderedPageBreak/>
              <w:t xml:space="preserve">  требуется)   </w:t>
            </w:r>
          </w:p>
        </w:tc>
      </w:tr>
      <w:tr w:rsidR="00B47F99">
        <w:tblPrEx>
          <w:tblCellMar>
            <w:top w:w="0" w:type="dxa"/>
            <w:bottom w:w="0" w:type="dxa"/>
          </w:tblCellMar>
        </w:tblPrEx>
        <w:trPr>
          <w:tblCellSpacing w:w="5" w:type="nil"/>
        </w:trPr>
        <w:tc>
          <w:tcPr>
            <w:tcW w:w="2014"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lastRenderedPageBreak/>
              <w:t xml:space="preserve">Расходы на:      </w:t>
            </w:r>
          </w:p>
        </w:tc>
        <w:tc>
          <w:tcPr>
            <w:tcW w:w="180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p>
        </w:tc>
        <w:tc>
          <w:tcPr>
            <w:tcW w:w="180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p>
        </w:tc>
        <w:tc>
          <w:tcPr>
            <w:tcW w:w="180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p>
        </w:tc>
        <w:tc>
          <w:tcPr>
            <w:tcW w:w="180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p>
        </w:tc>
      </w:tr>
      <w:tr w:rsidR="00B47F99">
        <w:tblPrEx>
          <w:tblCellMar>
            <w:top w:w="0" w:type="dxa"/>
            <w:bottom w:w="0" w:type="dxa"/>
          </w:tblCellMar>
        </w:tblPrEx>
        <w:trPr>
          <w:trHeight w:val="540"/>
          <w:tblCellSpacing w:w="5" w:type="nil"/>
        </w:trPr>
        <w:tc>
          <w:tcPr>
            <w:tcW w:w="2014"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1. Строительство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воздушных и (или)</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кабельных линий  </w:t>
            </w:r>
          </w:p>
        </w:tc>
        <w:tc>
          <w:tcPr>
            <w:tcW w:w="180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       </w:t>
            </w:r>
          </w:p>
        </w:tc>
        <w:tc>
          <w:tcPr>
            <w:tcW w:w="180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       </w:t>
            </w:r>
          </w:p>
        </w:tc>
        <w:tc>
          <w:tcPr>
            <w:tcW w:w="180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       </w:t>
            </w:r>
          </w:p>
        </w:tc>
        <w:tc>
          <w:tcPr>
            <w:tcW w:w="180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       </w:t>
            </w:r>
          </w:p>
        </w:tc>
      </w:tr>
      <w:tr w:rsidR="00B47F99">
        <w:tblPrEx>
          <w:tblCellMar>
            <w:top w:w="0" w:type="dxa"/>
            <w:bottom w:w="0" w:type="dxa"/>
          </w:tblCellMar>
        </w:tblPrEx>
        <w:trPr>
          <w:trHeight w:val="720"/>
          <w:tblCellSpacing w:w="5" w:type="nil"/>
        </w:trPr>
        <w:tc>
          <w:tcPr>
            <w:tcW w:w="2014"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2. Строительство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пунктов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секционирования  </w:t>
            </w:r>
          </w:p>
          <w:p w:rsidR="00B47F99" w:rsidRDefault="00B47F99">
            <w:pPr>
              <w:widowControl w:val="0"/>
              <w:autoSpaceDE w:val="0"/>
              <w:autoSpaceDN w:val="0"/>
              <w:adjustRightInd w:val="0"/>
              <w:spacing w:after="0" w:line="240" w:lineRule="auto"/>
              <w:rPr>
                <w:rFonts w:ascii="Courier New" w:hAnsi="Courier New" w:cs="Courier New"/>
                <w:sz w:val="18"/>
                <w:szCs w:val="18"/>
              </w:rPr>
            </w:pPr>
            <w:hyperlink w:anchor="Par258" w:history="1">
              <w:r>
                <w:rPr>
                  <w:rFonts w:ascii="Courier New" w:hAnsi="Courier New" w:cs="Courier New"/>
                  <w:color w:val="0000FF"/>
                  <w:sz w:val="18"/>
                  <w:szCs w:val="18"/>
                </w:rPr>
                <w:t>&lt;1&gt;</w:t>
              </w:r>
            </w:hyperlink>
          </w:p>
        </w:tc>
        <w:tc>
          <w:tcPr>
            <w:tcW w:w="180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       </w:t>
            </w:r>
          </w:p>
        </w:tc>
        <w:tc>
          <w:tcPr>
            <w:tcW w:w="180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       </w:t>
            </w:r>
          </w:p>
        </w:tc>
        <w:tc>
          <w:tcPr>
            <w:tcW w:w="180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       </w:t>
            </w:r>
          </w:p>
        </w:tc>
        <w:tc>
          <w:tcPr>
            <w:tcW w:w="180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       </w:t>
            </w:r>
          </w:p>
        </w:tc>
      </w:tr>
      <w:tr w:rsidR="00B47F99">
        <w:tblPrEx>
          <w:tblCellMar>
            <w:top w:w="0" w:type="dxa"/>
            <w:bottom w:w="0" w:type="dxa"/>
          </w:tblCellMar>
        </w:tblPrEx>
        <w:trPr>
          <w:trHeight w:val="1800"/>
          <w:tblCellSpacing w:w="5" w:type="nil"/>
        </w:trPr>
        <w:tc>
          <w:tcPr>
            <w:tcW w:w="2014"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3. Строительство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комплектных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трансформаторных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подстанций (КТП),</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распределительных</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трансформаторных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подстанций (РТП)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с уровнем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напряжения до 35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кВ </w:t>
            </w:r>
            <w:hyperlink w:anchor="Par260" w:history="1">
              <w:r>
                <w:rPr>
                  <w:rFonts w:ascii="Courier New" w:hAnsi="Courier New" w:cs="Courier New"/>
                  <w:color w:val="0000FF"/>
                  <w:sz w:val="18"/>
                  <w:szCs w:val="18"/>
                </w:rPr>
                <w:t>&lt;2&gt;</w:t>
              </w:r>
            </w:hyperlink>
          </w:p>
        </w:tc>
        <w:tc>
          <w:tcPr>
            <w:tcW w:w="180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       </w:t>
            </w:r>
          </w:p>
        </w:tc>
        <w:tc>
          <w:tcPr>
            <w:tcW w:w="180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       </w:t>
            </w:r>
          </w:p>
        </w:tc>
        <w:tc>
          <w:tcPr>
            <w:tcW w:w="180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       </w:t>
            </w:r>
          </w:p>
        </w:tc>
        <w:tc>
          <w:tcPr>
            <w:tcW w:w="180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bookmarkStart w:id="24" w:name="Par237"/>
            <w:bookmarkEnd w:id="24"/>
            <w:r>
              <w:rPr>
                <w:rFonts w:ascii="Courier New" w:hAnsi="Courier New" w:cs="Courier New"/>
                <w:sz w:val="18"/>
                <w:szCs w:val="18"/>
              </w:rPr>
              <w:t xml:space="preserve">       +       </w:t>
            </w:r>
          </w:p>
        </w:tc>
      </w:tr>
      <w:tr w:rsidR="00B47F99">
        <w:tblPrEx>
          <w:tblCellMar>
            <w:top w:w="0" w:type="dxa"/>
            <w:bottom w:w="0" w:type="dxa"/>
          </w:tblCellMar>
        </w:tblPrEx>
        <w:trPr>
          <w:trHeight w:val="1080"/>
          <w:tblCellSpacing w:w="5" w:type="nil"/>
        </w:trPr>
        <w:tc>
          <w:tcPr>
            <w:tcW w:w="2014"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4. Строительство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центров питания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подстанций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уровнем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напряжения 35 кВ </w:t>
            </w:r>
          </w:p>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и выше (ПС) </w:t>
            </w:r>
            <w:hyperlink w:anchor="Par262" w:history="1">
              <w:r>
                <w:rPr>
                  <w:rFonts w:ascii="Courier New" w:hAnsi="Courier New" w:cs="Courier New"/>
                  <w:color w:val="0000FF"/>
                  <w:sz w:val="18"/>
                  <w:szCs w:val="18"/>
                </w:rPr>
                <w:t>&lt;3&gt;</w:t>
              </w:r>
            </w:hyperlink>
          </w:p>
        </w:tc>
        <w:tc>
          <w:tcPr>
            <w:tcW w:w="180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       </w:t>
            </w:r>
          </w:p>
        </w:tc>
        <w:tc>
          <w:tcPr>
            <w:tcW w:w="180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       </w:t>
            </w:r>
          </w:p>
        </w:tc>
        <w:tc>
          <w:tcPr>
            <w:tcW w:w="180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       </w:t>
            </w:r>
          </w:p>
        </w:tc>
        <w:tc>
          <w:tcPr>
            <w:tcW w:w="180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18"/>
                <w:szCs w:val="18"/>
              </w:rPr>
            </w:pPr>
            <w:bookmarkStart w:id="25" w:name="Par248"/>
            <w:bookmarkEnd w:id="25"/>
            <w:r>
              <w:rPr>
                <w:rFonts w:ascii="Courier New" w:hAnsi="Courier New" w:cs="Courier New"/>
                <w:sz w:val="18"/>
                <w:szCs w:val="18"/>
              </w:rPr>
              <w:t xml:space="preserve">       +       </w:t>
            </w:r>
          </w:p>
        </w:tc>
      </w:tr>
    </w:tbl>
    <w:p w:rsidR="00B47F99" w:rsidRDefault="00B47F99">
      <w:pPr>
        <w:widowControl w:val="0"/>
        <w:autoSpaceDE w:val="0"/>
        <w:autoSpaceDN w:val="0"/>
        <w:adjustRightInd w:val="0"/>
        <w:spacing w:after="0" w:line="240" w:lineRule="auto"/>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w:t>
      </w:r>
    </w:p>
    <w:p w:rsidR="00B47F99" w:rsidRDefault="00B47F99">
      <w:pPr>
        <w:widowControl w:val="0"/>
        <w:autoSpaceDE w:val="0"/>
        <w:autoSpaceDN w:val="0"/>
        <w:adjustRightInd w:val="0"/>
        <w:spacing w:after="0" w:line="240" w:lineRule="auto"/>
        <w:ind w:firstLine="540"/>
        <w:jc w:val="both"/>
        <w:rPr>
          <w:rFonts w:ascii="Calibri" w:hAnsi="Calibri" w:cs="Calibri"/>
        </w:rPr>
      </w:pPr>
      <w:bookmarkStart w:id="26" w:name="Par258"/>
      <w:bookmarkEnd w:id="26"/>
      <w:r>
        <w:rPr>
          <w:rFonts w:ascii="Calibri" w:hAnsi="Calibri" w:cs="Calibri"/>
        </w:rPr>
        <w:t>&lt;1&gt; Строительство пунктов секционирования (реклоузеров, РП-распределительных пунктов, ПП-переключательных пунктов):</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выполняется для деления электрической сети и обеспечения селективности работы защит, обеспечения категории надежности электроснабжения, а также обеспечения нескольких точек присоединения Заявителю.</w:t>
      </w:r>
    </w:p>
    <w:p w:rsidR="00B47F99" w:rsidRDefault="00B47F99">
      <w:pPr>
        <w:widowControl w:val="0"/>
        <w:autoSpaceDE w:val="0"/>
        <w:autoSpaceDN w:val="0"/>
        <w:adjustRightInd w:val="0"/>
        <w:spacing w:after="0" w:line="240" w:lineRule="auto"/>
        <w:ind w:firstLine="540"/>
        <w:jc w:val="both"/>
        <w:rPr>
          <w:rFonts w:ascii="Calibri" w:hAnsi="Calibri" w:cs="Calibri"/>
        </w:rPr>
      </w:pPr>
      <w:bookmarkStart w:id="27" w:name="Par260"/>
      <w:bookmarkEnd w:id="27"/>
      <w:r>
        <w:rPr>
          <w:rFonts w:ascii="Calibri" w:hAnsi="Calibri" w:cs="Calibri"/>
        </w:rPr>
        <w:t>&lt;2&gt; Строительство комплектных трансформаторных подстанций (КТП), распределительных трансформаторных подстанций (РТП) с уровнем напряжения до 35 кВ:</w:t>
      </w:r>
    </w:p>
    <w:p w:rsidR="00B47F99" w:rsidRDefault="00B47F9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требуется в случае обеспечения Заявителя уровнем напряжения, равным указанному в заявке, а также при необходимости обеспечения нескольких точек присоединения.</w:t>
      </w:r>
    </w:p>
    <w:p w:rsidR="00B47F99" w:rsidRDefault="00B47F99">
      <w:pPr>
        <w:widowControl w:val="0"/>
        <w:autoSpaceDE w:val="0"/>
        <w:autoSpaceDN w:val="0"/>
        <w:adjustRightInd w:val="0"/>
        <w:spacing w:after="0" w:line="240" w:lineRule="auto"/>
        <w:ind w:firstLine="540"/>
        <w:jc w:val="both"/>
        <w:rPr>
          <w:rFonts w:ascii="Calibri" w:hAnsi="Calibri" w:cs="Calibri"/>
        </w:rPr>
      </w:pPr>
      <w:bookmarkStart w:id="28" w:name="Par262"/>
      <w:bookmarkEnd w:id="28"/>
      <w:r>
        <w:rPr>
          <w:rFonts w:ascii="Calibri" w:hAnsi="Calibri" w:cs="Calibri"/>
        </w:rPr>
        <w:t>&lt;3&gt; Строительство центров питания, подстанций уровнем напряжения 35 кВ и выше (ПС) требуется в случае обеспечения Заявителя уровнем напряжения, равным указанному в заявке, а также при необходимости обеспечения нескольких точек присоединения.</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jc w:val="right"/>
        <w:outlineLvl w:val="1"/>
        <w:rPr>
          <w:rFonts w:ascii="Calibri" w:hAnsi="Calibri" w:cs="Calibri"/>
        </w:rPr>
      </w:pPr>
      <w:bookmarkStart w:id="29" w:name="Par268"/>
      <w:bookmarkEnd w:id="29"/>
      <w:r>
        <w:rPr>
          <w:rFonts w:ascii="Calibri" w:hAnsi="Calibri" w:cs="Calibri"/>
        </w:rPr>
        <w:t>Приложение N 2</w:t>
      </w:r>
    </w:p>
    <w:p w:rsidR="00B47F99" w:rsidRDefault="00B47F99">
      <w:pPr>
        <w:widowControl w:val="0"/>
        <w:autoSpaceDE w:val="0"/>
        <w:autoSpaceDN w:val="0"/>
        <w:adjustRightInd w:val="0"/>
        <w:spacing w:after="0" w:line="240" w:lineRule="auto"/>
        <w:jc w:val="right"/>
        <w:rPr>
          <w:rFonts w:ascii="Calibri" w:hAnsi="Calibri" w:cs="Calibri"/>
        </w:rPr>
      </w:pPr>
      <w:r>
        <w:rPr>
          <w:rFonts w:ascii="Calibri" w:hAnsi="Calibri" w:cs="Calibri"/>
        </w:rPr>
        <w:t>к Методическим указаниям</w:t>
      </w:r>
    </w:p>
    <w:p w:rsidR="00B47F99" w:rsidRDefault="00B47F99">
      <w:pPr>
        <w:widowControl w:val="0"/>
        <w:autoSpaceDE w:val="0"/>
        <w:autoSpaceDN w:val="0"/>
        <w:adjustRightInd w:val="0"/>
        <w:spacing w:after="0" w:line="240" w:lineRule="auto"/>
        <w:jc w:val="center"/>
        <w:rPr>
          <w:rFonts w:ascii="Calibri" w:hAnsi="Calibri" w:cs="Calibri"/>
        </w:rPr>
      </w:pPr>
    </w:p>
    <w:p w:rsidR="00B47F99" w:rsidRDefault="00B47F99">
      <w:pPr>
        <w:pStyle w:val="ConsPlusNonformat"/>
      </w:pPr>
      <w:bookmarkStart w:id="30" w:name="Par271"/>
      <w:bookmarkEnd w:id="30"/>
      <w:r>
        <w:t xml:space="preserve">                          Стоимость мероприятий,</w:t>
      </w:r>
    </w:p>
    <w:p w:rsidR="00B47F99" w:rsidRDefault="00B47F99">
      <w:pPr>
        <w:pStyle w:val="ConsPlusNonformat"/>
      </w:pPr>
      <w:r>
        <w:t xml:space="preserve">         осуществляемых при технологическом присоединении единицы</w:t>
      </w:r>
    </w:p>
    <w:p w:rsidR="00B47F99" w:rsidRDefault="00B47F99">
      <w:pPr>
        <w:pStyle w:val="ConsPlusNonformat"/>
      </w:pPr>
      <w:r>
        <w:t xml:space="preserve">                         мощности (1 кВт) руб./кВт</w:t>
      </w:r>
    </w:p>
    <w:p w:rsidR="00B47F99" w:rsidRDefault="00B47F99">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819"/>
        <w:gridCol w:w="2925"/>
        <w:gridCol w:w="1872"/>
        <w:gridCol w:w="1755"/>
        <w:gridCol w:w="1872"/>
      </w:tblGrid>
      <w:tr w:rsidR="00B47F99">
        <w:tblPrEx>
          <w:tblCellMar>
            <w:top w:w="0" w:type="dxa"/>
            <w:bottom w:w="0" w:type="dxa"/>
          </w:tblCellMar>
        </w:tblPrEx>
        <w:trPr>
          <w:trHeight w:val="400"/>
          <w:tblCellSpacing w:w="5" w:type="nil"/>
        </w:trPr>
        <w:tc>
          <w:tcPr>
            <w:tcW w:w="819" w:type="dxa"/>
            <w:vMerge w:val="restart"/>
            <w:tcBorders>
              <w:top w:val="single" w:sz="8" w:space="0" w:color="auto"/>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п/п </w:t>
            </w:r>
          </w:p>
        </w:tc>
        <w:tc>
          <w:tcPr>
            <w:tcW w:w="2925" w:type="dxa"/>
            <w:vMerge w:val="restart"/>
            <w:tcBorders>
              <w:top w:val="single" w:sz="8" w:space="0" w:color="auto"/>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Наименование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мероприятий      </w:t>
            </w:r>
          </w:p>
        </w:tc>
        <w:tc>
          <w:tcPr>
            <w:tcW w:w="3627" w:type="dxa"/>
            <w:gridSpan w:val="2"/>
            <w:tcBorders>
              <w:top w:val="single" w:sz="8" w:space="0" w:color="auto"/>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872" w:type="dxa"/>
            <w:tcBorders>
              <w:top w:val="single" w:sz="8" w:space="0" w:color="auto"/>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r w:rsidR="00B47F99">
        <w:tblPrEx>
          <w:tblCellMar>
            <w:top w:w="0" w:type="dxa"/>
            <w:bottom w:w="0" w:type="dxa"/>
          </w:tblCellMar>
        </w:tblPrEx>
        <w:trPr>
          <w:trHeight w:val="1200"/>
          <w:tblCellSpacing w:w="5" w:type="nil"/>
        </w:trPr>
        <w:tc>
          <w:tcPr>
            <w:tcW w:w="819" w:type="dxa"/>
            <w:vMerge/>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jc w:val="both"/>
              <w:rPr>
                <w:rFonts w:ascii="Calibri" w:hAnsi="Calibri" w:cs="Calibri"/>
              </w:rPr>
            </w:pPr>
          </w:p>
        </w:tc>
        <w:tc>
          <w:tcPr>
            <w:tcW w:w="2925" w:type="dxa"/>
            <w:vMerge/>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jc w:val="both"/>
              <w:rPr>
                <w:rFonts w:ascii="Calibri" w:hAnsi="Calibri" w:cs="Calibri"/>
              </w:rPr>
            </w:pPr>
          </w:p>
        </w:tc>
        <w:tc>
          <w:tcPr>
            <w:tcW w:w="187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Разбивка НВВ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согласно   </w:t>
            </w:r>
          </w:p>
          <w:p w:rsidR="00B47F99" w:rsidRDefault="00B47F99">
            <w:pPr>
              <w:widowControl w:val="0"/>
              <w:autoSpaceDE w:val="0"/>
              <w:autoSpaceDN w:val="0"/>
              <w:adjustRightInd w:val="0"/>
              <w:spacing w:after="0" w:line="240" w:lineRule="auto"/>
              <w:rPr>
                <w:rFonts w:ascii="Courier New" w:hAnsi="Courier New" w:cs="Courier New"/>
                <w:sz w:val="20"/>
                <w:szCs w:val="20"/>
              </w:rPr>
            </w:pPr>
            <w:hyperlink w:anchor="Par197" w:history="1">
              <w:r>
                <w:rPr>
                  <w:rFonts w:ascii="Courier New" w:hAnsi="Courier New" w:cs="Courier New"/>
                  <w:color w:val="0000FF"/>
                  <w:sz w:val="20"/>
                  <w:szCs w:val="20"/>
                </w:rPr>
                <w:t>приложению 1</w:t>
              </w:r>
            </w:hyperlink>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по каждому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мероприятию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(руб.)    </w:t>
            </w: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Объем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максимальной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мощности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(кВт)    </w:t>
            </w:r>
          </w:p>
        </w:tc>
        <w:tc>
          <w:tcPr>
            <w:tcW w:w="187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Ставки для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расчета платы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по каждому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мероприятию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(руб./кВт)  </w:t>
            </w:r>
          </w:p>
        </w:tc>
      </w:tr>
      <w:tr w:rsidR="00B47F99">
        <w:tblPrEx>
          <w:tblCellMar>
            <w:top w:w="0" w:type="dxa"/>
            <w:bottom w:w="0" w:type="dxa"/>
          </w:tblCellMar>
        </w:tblPrEx>
        <w:trPr>
          <w:tblCellSpacing w:w="5" w:type="nil"/>
        </w:trPr>
        <w:tc>
          <w:tcPr>
            <w:tcW w:w="81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292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187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w:t>
            </w:r>
          </w:p>
        </w:tc>
        <w:tc>
          <w:tcPr>
            <w:tcW w:w="187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       </w:t>
            </w:r>
          </w:p>
        </w:tc>
      </w:tr>
      <w:tr w:rsidR="00B47F99">
        <w:tblPrEx>
          <w:tblCellMar>
            <w:top w:w="0" w:type="dxa"/>
            <w:bottom w:w="0" w:type="dxa"/>
          </w:tblCellMar>
        </w:tblPrEx>
        <w:trPr>
          <w:trHeight w:val="800"/>
          <w:tblCellSpacing w:w="5" w:type="nil"/>
        </w:trPr>
        <w:tc>
          <w:tcPr>
            <w:tcW w:w="81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tc>
        <w:tc>
          <w:tcPr>
            <w:tcW w:w="292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bookmarkStart w:id="31" w:name="Par287"/>
            <w:bookmarkEnd w:id="31"/>
            <w:r>
              <w:rPr>
                <w:rFonts w:ascii="Courier New" w:hAnsi="Courier New" w:cs="Courier New"/>
                <w:sz w:val="20"/>
                <w:szCs w:val="20"/>
              </w:rPr>
              <w:t xml:space="preserve">Подготовка и выдача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сетевой организацией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технических условий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Заявителю (ТУ)         </w:t>
            </w:r>
          </w:p>
        </w:tc>
        <w:tc>
          <w:tcPr>
            <w:tcW w:w="187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87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r w:rsidR="00B47F99">
        <w:tblPrEx>
          <w:tblCellMar>
            <w:top w:w="0" w:type="dxa"/>
            <w:bottom w:w="0" w:type="dxa"/>
          </w:tblCellMar>
        </w:tblPrEx>
        <w:trPr>
          <w:trHeight w:val="1000"/>
          <w:tblCellSpacing w:w="5" w:type="nil"/>
        </w:trPr>
        <w:tc>
          <w:tcPr>
            <w:tcW w:w="81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92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bookmarkStart w:id="32" w:name="Par292"/>
            <w:bookmarkEnd w:id="32"/>
            <w:r>
              <w:rPr>
                <w:rFonts w:ascii="Courier New" w:hAnsi="Courier New" w:cs="Courier New"/>
                <w:sz w:val="20"/>
                <w:szCs w:val="20"/>
              </w:rPr>
              <w:t xml:space="preserve">Разработка сетевой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организацией проектной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документации по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строительству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"последней мили"       </w:t>
            </w:r>
          </w:p>
        </w:tc>
        <w:tc>
          <w:tcPr>
            <w:tcW w:w="187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87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r w:rsidR="00B47F99">
        <w:tblPrEx>
          <w:tblCellMar>
            <w:top w:w="0" w:type="dxa"/>
            <w:bottom w:w="0" w:type="dxa"/>
          </w:tblCellMar>
        </w:tblPrEx>
        <w:trPr>
          <w:trHeight w:val="1000"/>
          <w:tblCellSpacing w:w="5" w:type="nil"/>
        </w:trPr>
        <w:tc>
          <w:tcPr>
            <w:tcW w:w="81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   </w:t>
            </w:r>
          </w:p>
        </w:tc>
        <w:tc>
          <w:tcPr>
            <w:tcW w:w="292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Выполнение сетевой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организацией,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мероприятий, связанных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со строительством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"последней мили"       </w:t>
            </w:r>
          </w:p>
        </w:tc>
        <w:tc>
          <w:tcPr>
            <w:tcW w:w="187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X       </w:t>
            </w: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X      </w:t>
            </w:r>
          </w:p>
        </w:tc>
        <w:tc>
          <w:tcPr>
            <w:tcW w:w="187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X       </w:t>
            </w:r>
          </w:p>
        </w:tc>
      </w:tr>
      <w:tr w:rsidR="00B47F99">
        <w:tblPrEx>
          <w:tblCellMar>
            <w:top w:w="0" w:type="dxa"/>
            <w:bottom w:w="0" w:type="dxa"/>
          </w:tblCellMar>
        </w:tblPrEx>
        <w:trPr>
          <w:trHeight w:val="400"/>
          <w:tblCellSpacing w:w="5" w:type="nil"/>
        </w:trPr>
        <w:tc>
          <w:tcPr>
            <w:tcW w:w="81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3.1. </w:t>
            </w:r>
          </w:p>
        </w:tc>
        <w:tc>
          <w:tcPr>
            <w:tcW w:w="292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bookmarkStart w:id="33" w:name="Par304"/>
            <w:bookmarkEnd w:id="33"/>
            <w:r>
              <w:rPr>
                <w:rFonts w:ascii="Courier New" w:hAnsi="Courier New" w:cs="Courier New"/>
                <w:sz w:val="20"/>
                <w:szCs w:val="20"/>
              </w:rPr>
              <w:t>строительство воздушных</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линий                  </w:t>
            </w:r>
          </w:p>
        </w:tc>
        <w:tc>
          <w:tcPr>
            <w:tcW w:w="187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87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r w:rsidR="00B47F99">
        <w:tblPrEx>
          <w:tblCellMar>
            <w:top w:w="0" w:type="dxa"/>
            <w:bottom w:w="0" w:type="dxa"/>
          </w:tblCellMar>
        </w:tblPrEx>
        <w:trPr>
          <w:trHeight w:val="400"/>
          <w:tblCellSpacing w:w="5" w:type="nil"/>
        </w:trPr>
        <w:tc>
          <w:tcPr>
            <w:tcW w:w="81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3.2. </w:t>
            </w:r>
          </w:p>
        </w:tc>
        <w:tc>
          <w:tcPr>
            <w:tcW w:w="292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bookmarkStart w:id="34" w:name="Par307"/>
            <w:bookmarkEnd w:id="34"/>
            <w:r>
              <w:rPr>
                <w:rFonts w:ascii="Courier New" w:hAnsi="Courier New" w:cs="Courier New"/>
                <w:sz w:val="20"/>
                <w:szCs w:val="20"/>
              </w:rPr>
              <w:t>строительство кабельных</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линий                  </w:t>
            </w:r>
          </w:p>
        </w:tc>
        <w:tc>
          <w:tcPr>
            <w:tcW w:w="187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87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r w:rsidR="00B47F99">
        <w:tblPrEx>
          <w:tblCellMar>
            <w:top w:w="0" w:type="dxa"/>
            <w:bottom w:w="0" w:type="dxa"/>
          </w:tblCellMar>
        </w:tblPrEx>
        <w:trPr>
          <w:trHeight w:val="400"/>
          <w:tblCellSpacing w:w="5" w:type="nil"/>
        </w:trPr>
        <w:tc>
          <w:tcPr>
            <w:tcW w:w="81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3.3. </w:t>
            </w:r>
          </w:p>
        </w:tc>
        <w:tc>
          <w:tcPr>
            <w:tcW w:w="292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строительство пунктов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секционирования        </w:t>
            </w:r>
          </w:p>
        </w:tc>
        <w:tc>
          <w:tcPr>
            <w:tcW w:w="187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87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r w:rsidR="00B47F99">
        <w:tblPrEx>
          <w:tblCellMar>
            <w:top w:w="0" w:type="dxa"/>
            <w:bottom w:w="0" w:type="dxa"/>
          </w:tblCellMar>
        </w:tblPrEx>
        <w:trPr>
          <w:trHeight w:val="1800"/>
          <w:tblCellSpacing w:w="5" w:type="nil"/>
        </w:trPr>
        <w:tc>
          <w:tcPr>
            <w:tcW w:w="81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3.4. </w:t>
            </w:r>
          </w:p>
        </w:tc>
        <w:tc>
          <w:tcPr>
            <w:tcW w:w="292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bookmarkStart w:id="35" w:name="Par313"/>
            <w:bookmarkEnd w:id="35"/>
            <w:r>
              <w:rPr>
                <w:rFonts w:ascii="Courier New" w:hAnsi="Courier New" w:cs="Courier New"/>
                <w:sz w:val="20"/>
                <w:szCs w:val="20"/>
              </w:rPr>
              <w:t xml:space="preserve">строительство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комплектных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трансформаторных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подстанций (КТП),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распределительных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трансформаторных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подстанций (РТП) с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уровнем напряжения до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35 кВ                  </w:t>
            </w:r>
          </w:p>
        </w:tc>
        <w:tc>
          <w:tcPr>
            <w:tcW w:w="187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87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r w:rsidR="00B47F99">
        <w:tblPrEx>
          <w:tblCellMar>
            <w:top w:w="0" w:type="dxa"/>
            <w:bottom w:w="0" w:type="dxa"/>
          </w:tblCellMar>
        </w:tblPrEx>
        <w:trPr>
          <w:trHeight w:val="800"/>
          <w:tblCellSpacing w:w="5" w:type="nil"/>
        </w:trPr>
        <w:tc>
          <w:tcPr>
            <w:tcW w:w="81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3.5. </w:t>
            </w:r>
          </w:p>
        </w:tc>
        <w:tc>
          <w:tcPr>
            <w:tcW w:w="292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bookmarkStart w:id="36" w:name="Par323"/>
            <w:bookmarkEnd w:id="36"/>
            <w:r>
              <w:rPr>
                <w:rFonts w:ascii="Courier New" w:hAnsi="Courier New" w:cs="Courier New"/>
                <w:sz w:val="20"/>
                <w:szCs w:val="20"/>
              </w:rPr>
              <w:t xml:space="preserve">строительство центров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питания, подстанций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уровнем напряжения 35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кВ и выше (ПС)         </w:t>
            </w:r>
          </w:p>
        </w:tc>
        <w:tc>
          <w:tcPr>
            <w:tcW w:w="187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87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r w:rsidR="00B47F99">
        <w:tblPrEx>
          <w:tblCellMar>
            <w:top w:w="0" w:type="dxa"/>
            <w:bottom w:w="0" w:type="dxa"/>
          </w:tblCellMar>
        </w:tblPrEx>
        <w:trPr>
          <w:trHeight w:val="600"/>
          <w:tblCellSpacing w:w="5" w:type="nil"/>
        </w:trPr>
        <w:tc>
          <w:tcPr>
            <w:tcW w:w="81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4.   </w:t>
            </w:r>
          </w:p>
        </w:tc>
        <w:tc>
          <w:tcPr>
            <w:tcW w:w="292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bookmarkStart w:id="37" w:name="Par328"/>
            <w:bookmarkEnd w:id="37"/>
            <w:r>
              <w:rPr>
                <w:rFonts w:ascii="Courier New" w:hAnsi="Courier New" w:cs="Courier New"/>
                <w:sz w:val="20"/>
                <w:szCs w:val="20"/>
              </w:rPr>
              <w:t xml:space="preserve">Проверка сетевой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организацией выполнения</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Заявителем ТУ          </w:t>
            </w:r>
          </w:p>
        </w:tc>
        <w:tc>
          <w:tcPr>
            <w:tcW w:w="187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87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r w:rsidR="00B47F99">
        <w:tblPrEx>
          <w:tblCellMar>
            <w:top w:w="0" w:type="dxa"/>
            <w:bottom w:w="0" w:type="dxa"/>
          </w:tblCellMar>
        </w:tblPrEx>
        <w:trPr>
          <w:trHeight w:val="1000"/>
          <w:tblCellSpacing w:w="5" w:type="nil"/>
        </w:trPr>
        <w:tc>
          <w:tcPr>
            <w:tcW w:w="81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5.   </w:t>
            </w:r>
          </w:p>
        </w:tc>
        <w:tc>
          <w:tcPr>
            <w:tcW w:w="292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bookmarkStart w:id="38" w:name="Par332"/>
            <w:bookmarkEnd w:id="38"/>
            <w:r>
              <w:rPr>
                <w:rFonts w:ascii="Courier New" w:hAnsi="Courier New" w:cs="Courier New"/>
                <w:sz w:val="20"/>
                <w:szCs w:val="20"/>
              </w:rPr>
              <w:t xml:space="preserve">Участие в осмотре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должностным лицом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Ростехнадзора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присоединяемых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Устройств Заявителя </w:t>
            </w:r>
            <w:hyperlink w:anchor="Par346" w:history="1">
              <w:r>
                <w:rPr>
                  <w:rFonts w:ascii="Courier New" w:hAnsi="Courier New" w:cs="Courier New"/>
                  <w:color w:val="0000FF"/>
                  <w:sz w:val="20"/>
                  <w:szCs w:val="20"/>
                </w:rPr>
                <w:t>&lt;1&gt;</w:t>
              </w:r>
            </w:hyperlink>
          </w:p>
        </w:tc>
        <w:tc>
          <w:tcPr>
            <w:tcW w:w="187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87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r w:rsidR="00B47F99">
        <w:tblPrEx>
          <w:tblCellMar>
            <w:top w:w="0" w:type="dxa"/>
            <w:bottom w:w="0" w:type="dxa"/>
          </w:tblCellMar>
        </w:tblPrEx>
        <w:trPr>
          <w:trHeight w:val="1000"/>
          <w:tblCellSpacing w:w="5" w:type="nil"/>
        </w:trPr>
        <w:tc>
          <w:tcPr>
            <w:tcW w:w="81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6.   </w:t>
            </w:r>
          </w:p>
        </w:tc>
        <w:tc>
          <w:tcPr>
            <w:tcW w:w="292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bookmarkStart w:id="39" w:name="Par338"/>
            <w:bookmarkEnd w:id="39"/>
            <w:r>
              <w:rPr>
                <w:rFonts w:ascii="Courier New" w:hAnsi="Courier New" w:cs="Courier New"/>
                <w:sz w:val="20"/>
                <w:szCs w:val="20"/>
              </w:rPr>
              <w:t>Фактические действия по</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присоединению и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обеспечению работы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Устройств в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электрической сети     </w:t>
            </w:r>
          </w:p>
        </w:tc>
        <w:tc>
          <w:tcPr>
            <w:tcW w:w="187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872"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bl>
    <w:p w:rsidR="00B47F99" w:rsidRDefault="00B47F99">
      <w:pPr>
        <w:widowControl w:val="0"/>
        <w:autoSpaceDE w:val="0"/>
        <w:autoSpaceDN w:val="0"/>
        <w:adjustRightInd w:val="0"/>
        <w:spacing w:after="0" w:line="240" w:lineRule="auto"/>
        <w:jc w:val="both"/>
        <w:rPr>
          <w:rFonts w:ascii="Calibri" w:hAnsi="Calibri" w:cs="Calibri"/>
        </w:rPr>
      </w:pPr>
    </w:p>
    <w:p w:rsidR="00B47F99" w:rsidRDefault="00B47F99">
      <w:pPr>
        <w:pStyle w:val="ConsPlusNonformat"/>
      </w:pPr>
      <w:r>
        <w:t xml:space="preserve">    --------------------------------</w:t>
      </w:r>
    </w:p>
    <w:p w:rsidR="00B47F99" w:rsidRDefault="00B47F99">
      <w:pPr>
        <w:pStyle w:val="ConsPlusNonformat"/>
      </w:pPr>
      <w:bookmarkStart w:id="40" w:name="Par346"/>
      <w:bookmarkEnd w:id="40"/>
      <w:r>
        <w:t xml:space="preserve">    &lt;1&gt;   Данные   расходы   не   учитываются  при  установлении  платы  за</w:t>
      </w:r>
    </w:p>
    <w:p w:rsidR="00B47F99" w:rsidRDefault="00B47F99">
      <w:pPr>
        <w:pStyle w:val="ConsPlusNonformat"/>
      </w:pPr>
      <w:r>
        <w:t>технологическое   присоединение   для  Заявителей  -  юридических  лиц  или</w:t>
      </w:r>
    </w:p>
    <w:p w:rsidR="00B47F99" w:rsidRDefault="00B47F99">
      <w:pPr>
        <w:pStyle w:val="ConsPlusNonformat"/>
      </w:pPr>
      <w:r>
        <w:t>индивидуальных  предпринимателей  в целях технологического присоединения по</w:t>
      </w:r>
    </w:p>
    <w:p w:rsidR="00B47F99" w:rsidRDefault="00B47F99">
      <w:pPr>
        <w:pStyle w:val="ConsPlusNonformat"/>
      </w:pPr>
      <w:r>
        <w:t>одному источнику электроснабжения энергопринимающих устройств, максимальная</w:t>
      </w:r>
    </w:p>
    <w:p w:rsidR="00B47F99" w:rsidRDefault="00B47F99">
      <w:pPr>
        <w:pStyle w:val="ConsPlusNonformat"/>
      </w:pPr>
      <w:r>
        <w:lastRenderedPageBreak/>
        <w:t>мощность  которых  составляет  до  150  кВт  включительно  (с  учетом ранее</w:t>
      </w:r>
    </w:p>
    <w:p w:rsidR="00B47F99" w:rsidRDefault="00B47F99">
      <w:pPr>
        <w:pStyle w:val="ConsPlusNonformat"/>
      </w:pPr>
      <w:r>
        <w:t>присоединенной  в  данной  точке  присоединения мощности); для Заявителей в</w:t>
      </w:r>
    </w:p>
    <w:p w:rsidR="00B47F99" w:rsidRDefault="00B47F99">
      <w:pPr>
        <w:pStyle w:val="ConsPlusNonformat"/>
      </w:pPr>
      <w:r>
        <w:t>целях   временного   (на   срок   не   более  6  месяцев)  технологического</w:t>
      </w:r>
    </w:p>
    <w:p w:rsidR="00B47F99" w:rsidRDefault="00B47F99">
      <w:pPr>
        <w:pStyle w:val="ConsPlusNonformat"/>
      </w:pPr>
      <w:r>
        <w:t>присоединения принадлежащих ему энергопринимающих устройств для обеспечения</w:t>
      </w:r>
    </w:p>
    <w:p w:rsidR="00B47F99" w:rsidRDefault="00B47F99">
      <w:pPr>
        <w:pStyle w:val="ConsPlusNonformat"/>
      </w:pPr>
      <w:r>
        <w:t>электрической энергией передвижных объектов с максимальной мощностью до 100</w:t>
      </w:r>
    </w:p>
    <w:p w:rsidR="00B47F99" w:rsidRDefault="00B47F99">
      <w:pPr>
        <w:pStyle w:val="ConsPlusNonformat"/>
      </w:pPr>
      <w:r>
        <w:t>кВт   включительно   (с   учетом   ранее   присоединенной  в  данной  точке</w:t>
      </w:r>
    </w:p>
    <w:p w:rsidR="00B47F99" w:rsidRDefault="00B47F99">
      <w:pPr>
        <w:pStyle w:val="ConsPlusNonformat"/>
      </w:pPr>
      <w:r>
        <w:t>присоединения   мощности);   для   Заявителей  -  физических  лиц  в  целях</w:t>
      </w:r>
    </w:p>
    <w:p w:rsidR="00B47F99" w:rsidRDefault="00B47F99">
      <w:pPr>
        <w:pStyle w:val="ConsPlusNonformat"/>
      </w:pPr>
      <w:r>
        <w:t>технологического  присоединения  энергопринимающих  устройств, максимальная</w:t>
      </w:r>
    </w:p>
    <w:p w:rsidR="00B47F99" w:rsidRDefault="00B47F99">
      <w:pPr>
        <w:pStyle w:val="ConsPlusNonformat"/>
      </w:pPr>
      <w:r>
        <w:t>мощность  которых  составляет  до  15  кВт  включительно  (с  учетом  ранее</w:t>
      </w:r>
    </w:p>
    <w:p w:rsidR="00B47F99" w:rsidRDefault="00B47F99">
      <w:pPr>
        <w:pStyle w:val="ConsPlusNonformat"/>
      </w:pPr>
      <w:r>
        <w:t>присоединенной в данной точке присоединения мощности), которые используются</w:t>
      </w:r>
    </w:p>
    <w:p w:rsidR="00B47F99" w:rsidRDefault="00B47F99">
      <w:pPr>
        <w:pStyle w:val="ConsPlusNonformat"/>
      </w:pPr>
      <w:r>
        <w:t>для  бытовых и иных нужд, не связанных с осуществлением предпринимательской</w:t>
      </w:r>
    </w:p>
    <w:p w:rsidR="00B47F99" w:rsidRDefault="00B47F99">
      <w:pPr>
        <w:pStyle w:val="ConsPlusNonformat"/>
      </w:pPr>
      <w:r>
        <w:t>деятельности,   и  электроснабжение  которых  предусматривается  по  одному</w:t>
      </w:r>
    </w:p>
    <w:p w:rsidR="00B47F99" w:rsidRDefault="00B47F99">
      <w:pPr>
        <w:pStyle w:val="ConsPlusNonformat"/>
      </w:pPr>
      <w:r>
        <w:t>источнику.</w:t>
      </w:r>
    </w:p>
    <w:p w:rsidR="00B47F99" w:rsidRDefault="00B47F99">
      <w:pPr>
        <w:pStyle w:val="ConsPlusNonformat"/>
      </w:pPr>
    </w:p>
    <w:p w:rsidR="00B47F99" w:rsidRDefault="00B47F99">
      <w:pPr>
        <w:pStyle w:val="ConsPlusNonformat"/>
      </w:pPr>
      <w:r>
        <w:t xml:space="preserve">      Утверждаю:</w:t>
      </w:r>
    </w:p>
    <w:p w:rsidR="00B47F99" w:rsidRDefault="00B47F99">
      <w:pPr>
        <w:pStyle w:val="ConsPlusNonformat"/>
      </w:pPr>
      <w:r>
        <w:t>Руководитель уполномоченного органа</w:t>
      </w:r>
    </w:p>
    <w:p w:rsidR="00B47F99" w:rsidRDefault="00B47F99">
      <w:pPr>
        <w:pStyle w:val="ConsPlusNonformat"/>
      </w:pPr>
      <w:r>
        <w:t>исполнительной власти в области</w:t>
      </w:r>
    </w:p>
    <w:p w:rsidR="00B47F99" w:rsidRDefault="00B47F99">
      <w:pPr>
        <w:pStyle w:val="ConsPlusNonformat"/>
      </w:pPr>
      <w:r>
        <w:t>государственного регулирования тарифов             подпись</w:t>
      </w:r>
    </w:p>
    <w:p w:rsidR="00B47F99" w:rsidRDefault="00B47F99">
      <w:pPr>
        <w:widowControl w:val="0"/>
        <w:autoSpaceDE w:val="0"/>
        <w:autoSpaceDN w:val="0"/>
        <w:adjustRightInd w:val="0"/>
        <w:spacing w:after="0" w:line="240" w:lineRule="auto"/>
        <w:jc w:val="both"/>
        <w:rPr>
          <w:rFonts w:ascii="Calibri" w:hAnsi="Calibri" w:cs="Calibri"/>
        </w:rPr>
      </w:pPr>
    </w:p>
    <w:p w:rsidR="00B47F99" w:rsidRDefault="00B47F99">
      <w:pPr>
        <w:widowControl w:val="0"/>
        <w:autoSpaceDE w:val="0"/>
        <w:autoSpaceDN w:val="0"/>
        <w:adjustRightInd w:val="0"/>
        <w:spacing w:after="0" w:line="240" w:lineRule="auto"/>
        <w:jc w:val="both"/>
        <w:rPr>
          <w:rFonts w:ascii="Calibri" w:hAnsi="Calibri" w:cs="Calibri"/>
        </w:rPr>
      </w:pPr>
    </w:p>
    <w:p w:rsidR="00B47F99" w:rsidRDefault="00B47F99">
      <w:pPr>
        <w:widowControl w:val="0"/>
        <w:autoSpaceDE w:val="0"/>
        <w:autoSpaceDN w:val="0"/>
        <w:adjustRightInd w:val="0"/>
        <w:spacing w:after="0" w:line="240" w:lineRule="auto"/>
        <w:jc w:val="both"/>
        <w:rPr>
          <w:rFonts w:ascii="Calibri" w:hAnsi="Calibri" w:cs="Calibri"/>
        </w:rPr>
      </w:pPr>
    </w:p>
    <w:p w:rsidR="00B47F99" w:rsidRDefault="00B47F99">
      <w:pPr>
        <w:widowControl w:val="0"/>
        <w:autoSpaceDE w:val="0"/>
        <w:autoSpaceDN w:val="0"/>
        <w:adjustRightInd w:val="0"/>
        <w:spacing w:after="0" w:line="240" w:lineRule="auto"/>
        <w:jc w:val="both"/>
        <w:rPr>
          <w:rFonts w:ascii="Calibri" w:hAnsi="Calibri" w:cs="Calibri"/>
        </w:rPr>
      </w:pPr>
    </w:p>
    <w:p w:rsidR="00B47F99" w:rsidRDefault="00B47F99">
      <w:pPr>
        <w:widowControl w:val="0"/>
        <w:autoSpaceDE w:val="0"/>
        <w:autoSpaceDN w:val="0"/>
        <w:adjustRightInd w:val="0"/>
        <w:spacing w:after="0" w:line="240" w:lineRule="auto"/>
        <w:jc w:val="both"/>
        <w:rPr>
          <w:rFonts w:ascii="Calibri" w:hAnsi="Calibri" w:cs="Calibri"/>
        </w:rPr>
      </w:pPr>
    </w:p>
    <w:p w:rsidR="00B47F99" w:rsidRDefault="00B47F99">
      <w:pPr>
        <w:widowControl w:val="0"/>
        <w:autoSpaceDE w:val="0"/>
        <w:autoSpaceDN w:val="0"/>
        <w:adjustRightInd w:val="0"/>
        <w:spacing w:after="0" w:line="240" w:lineRule="auto"/>
        <w:jc w:val="right"/>
        <w:outlineLvl w:val="1"/>
        <w:rPr>
          <w:rFonts w:ascii="Calibri" w:hAnsi="Calibri" w:cs="Calibri"/>
        </w:rPr>
      </w:pPr>
      <w:bookmarkStart w:id="41" w:name="Par373"/>
      <w:bookmarkEnd w:id="41"/>
      <w:r>
        <w:rPr>
          <w:rFonts w:ascii="Calibri" w:hAnsi="Calibri" w:cs="Calibri"/>
        </w:rPr>
        <w:t>Приложение N 3</w:t>
      </w:r>
    </w:p>
    <w:p w:rsidR="00B47F99" w:rsidRDefault="00B47F99">
      <w:pPr>
        <w:widowControl w:val="0"/>
        <w:autoSpaceDE w:val="0"/>
        <w:autoSpaceDN w:val="0"/>
        <w:adjustRightInd w:val="0"/>
        <w:spacing w:after="0" w:line="240" w:lineRule="auto"/>
        <w:jc w:val="right"/>
        <w:rPr>
          <w:rFonts w:ascii="Calibri" w:hAnsi="Calibri" w:cs="Calibri"/>
        </w:rPr>
      </w:pPr>
      <w:r>
        <w:rPr>
          <w:rFonts w:ascii="Calibri" w:hAnsi="Calibri" w:cs="Calibri"/>
        </w:rPr>
        <w:t>к Методическим указаниям</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jc w:val="center"/>
        <w:rPr>
          <w:rFonts w:ascii="Calibri" w:hAnsi="Calibri" w:cs="Calibri"/>
        </w:rPr>
      </w:pPr>
      <w:bookmarkStart w:id="42" w:name="Par376"/>
      <w:bookmarkEnd w:id="42"/>
      <w:r>
        <w:rPr>
          <w:rFonts w:ascii="Calibri" w:hAnsi="Calibri" w:cs="Calibri"/>
        </w:rPr>
        <w:t>Расчет</w:t>
      </w:r>
    </w:p>
    <w:p w:rsidR="00B47F99" w:rsidRDefault="00B47F99">
      <w:pPr>
        <w:widowControl w:val="0"/>
        <w:autoSpaceDE w:val="0"/>
        <w:autoSpaceDN w:val="0"/>
        <w:adjustRightInd w:val="0"/>
        <w:spacing w:after="0" w:line="240" w:lineRule="auto"/>
        <w:jc w:val="center"/>
        <w:rPr>
          <w:rFonts w:ascii="Calibri" w:hAnsi="Calibri" w:cs="Calibri"/>
        </w:rPr>
      </w:pPr>
      <w:r>
        <w:rPr>
          <w:rFonts w:ascii="Calibri" w:hAnsi="Calibri" w:cs="Calibri"/>
        </w:rPr>
        <w:t>необходимой валовой выручки сетевой организации</w:t>
      </w:r>
    </w:p>
    <w:p w:rsidR="00B47F99" w:rsidRDefault="00B47F99">
      <w:pPr>
        <w:widowControl w:val="0"/>
        <w:autoSpaceDE w:val="0"/>
        <w:autoSpaceDN w:val="0"/>
        <w:adjustRightInd w:val="0"/>
        <w:spacing w:after="0" w:line="240" w:lineRule="auto"/>
        <w:jc w:val="center"/>
        <w:rPr>
          <w:rFonts w:ascii="Calibri" w:hAnsi="Calibri" w:cs="Calibri"/>
        </w:rPr>
      </w:pPr>
      <w:r>
        <w:rPr>
          <w:rFonts w:ascii="Calibri" w:hAnsi="Calibri" w:cs="Calibri"/>
        </w:rPr>
        <w:t>на технологическое присоединение</w:t>
      </w: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jc w:val="right"/>
        <w:rPr>
          <w:rFonts w:ascii="Calibri" w:hAnsi="Calibri" w:cs="Calibri"/>
        </w:rPr>
      </w:pPr>
      <w:r>
        <w:rPr>
          <w:rFonts w:ascii="Calibri" w:hAnsi="Calibri" w:cs="Calibri"/>
        </w:rPr>
        <w:t>тыс. руб.</w:t>
      </w:r>
    </w:p>
    <w:tbl>
      <w:tblPr>
        <w:tblW w:w="0" w:type="auto"/>
        <w:tblCellSpacing w:w="5" w:type="nil"/>
        <w:tblInd w:w="75" w:type="dxa"/>
        <w:tblLayout w:type="fixed"/>
        <w:tblCellMar>
          <w:left w:w="75" w:type="dxa"/>
          <w:right w:w="75" w:type="dxa"/>
        </w:tblCellMar>
        <w:tblLook w:val="0000"/>
      </w:tblPr>
      <w:tblGrid>
        <w:gridCol w:w="1404"/>
        <w:gridCol w:w="4329"/>
        <w:gridCol w:w="1638"/>
        <w:gridCol w:w="1755"/>
      </w:tblGrid>
      <w:tr w:rsidR="00B47F99">
        <w:tblPrEx>
          <w:tblCellMar>
            <w:top w:w="0" w:type="dxa"/>
            <w:bottom w:w="0" w:type="dxa"/>
          </w:tblCellMar>
        </w:tblPrEx>
        <w:trPr>
          <w:trHeight w:val="800"/>
          <w:tblCellSpacing w:w="5" w:type="nil"/>
        </w:trPr>
        <w:tc>
          <w:tcPr>
            <w:tcW w:w="1404" w:type="dxa"/>
            <w:tcBorders>
              <w:top w:val="single" w:sz="8" w:space="0" w:color="auto"/>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п/п   </w:t>
            </w:r>
          </w:p>
        </w:tc>
        <w:tc>
          <w:tcPr>
            <w:tcW w:w="4329" w:type="dxa"/>
            <w:tcBorders>
              <w:top w:val="single" w:sz="8" w:space="0" w:color="auto"/>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Показатели             </w:t>
            </w:r>
          </w:p>
        </w:tc>
        <w:tc>
          <w:tcPr>
            <w:tcW w:w="1638" w:type="dxa"/>
            <w:tcBorders>
              <w:top w:val="single" w:sz="8" w:space="0" w:color="auto"/>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Ожидаемые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данные за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текущий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период   </w:t>
            </w:r>
          </w:p>
        </w:tc>
        <w:tc>
          <w:tcPr>
            <w:tcW w:w="1755" w:type="dxa"/>
            <w:tcBorders>
              <w:top w:val="single" w:sz="8" w:space="0" w:color="auto"/>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Плановые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показатели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на следующий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период    </w:t>
            </w:r>
          </w:p>
        </w:tc>
      </w:tr>
      <w:tr w:rsidR="00B47F99">
        <w:tblPrEx>
          <w:tblCellMar>
            <w:top w:w="0" w:type="dxa"/>
            <w:bottom w:w="0" w:type="dxa"/>
          </w:tblCellMar>
        </w:tblPrEx>
        <w:trPr>
          <w:tblCellSpacing w:w="5" w:type="nil"/>
        </w:trPr>
        <w:tc>
          <w:tcPr>
            <w:tcW w:w="1404"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432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1638"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w:t>
            </w:r>
          </w:p>
        </w:tc>
      </w:tr>
      <w:tr w:rsidR="00B47F99">
        <w:tblPrEx>
          <w:tblCellMar>
            <w:top w:w="0" w:type="dxa"/>
            <w:bottom w:w="0" w:type="dxa"/>
          </w:tblCellMar>
        </w:tblPrEx>
        <w:trPr>
          <w:trHeight w:val="600"/>
          <w:tblCellSpacing w:w="5" w:type="nil"/>
        </w:trPr>
        <w:tc>
          <w:tcPr>
            <w:tcW w:w="1404"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w:t>
            </w:r>
          </w:p>
        </w:tc>
        <w:tc>
          <w:tcPr>
            <w:tcW w:w="432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bookmarkStart w:id="43" w:name="Par389"/>
            <w:bookmarkEnd w:id="43"/>
            <w:r>
              <w:rPr>
                <w:rFonts w:ascii="Courier New" w:hAnsi="Courier New" w:cs="Courier New"/>
                <w:sz w:val="20"/>
                <w:szCs w:val="20"/>
              </w:rPr>
              <w:t xml:space="preserve">Расходы по выполнению мероприятий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по технологическому присоединению,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всего                              </w:t>
            </w:r>
          </w:p>
        </w:tc>
        <w:tc>
          <w:tcPr>
            <w:tcW w:w="1638"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r w:rsidR="00B47F99">
        <w:tblPrEx>
          <w:tblCellMar>
            <w:top w:w="0" w:type="dxa"/>
            <w:bottom w:w="0" w:type="dxa"/>
          </w:tblCellMar>
        </w:tblPrEx>
        <w:trPr>
          <w:tblCellSpacing w:w="5" w:type="nil"/>
        </w:trPr>
        <w:tc>
          <w:tcPr>
            <w:tcW w:w="1404"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1.1.      </w:t>
            </w:r>
          </w:p>
        </w:tc>
        <w:tc>
          <w:tcPr>
            <w:tcW w:w="432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Вспомогательные материалы          </w:t>
            </w:r>
          </w:p>
        </w:tc>
        <w:tc>
          <w:tcPr>
            <w:tcW w:w="1638"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r w:rsidR="00B47F99">
        <w:tblPrEx>
          <w:tblCellMar>
            <w:top w:w="0" w:type="dxa"/>
            <w:bottom w:w="0" w:type="dxa"/>
          </w:tblCellMar>
        </w:tblPrEx>
        <w:trPr>
          <w:tblCellSpacing w:w="5" w:type="nil"/>
        </w:trPr>
        <w:tc>
          <w:tcPr>
            <w:tcW w:w="1404"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1.2.      </w:t>
            </w:r>
          </w:p>
        </w:tc>
        <w:tc>
          <w:tcPr>
            <w:tcW w:w="432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Энергия на хозяйственные нужды     </w:t>
            </w:r>
          </w:p>
        </w:tc>
        <w:tc>
          <w:tcPr>
            <w:tcW w:w="1638"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r w:rsidR="00B47F99">
        <w:tblPrEx>
          <w:tblCellMar>
            <w:top w:w="0" w:type="dxa"/>
            <w:bottom w:w="0" w:type="dxa"/>
          </w:tblCellMar>
        </w:tblPrEx>
        <w:trPr>
          <w:tblCellSpacing w:w="5" w:type="nil"/>
        </w:trPr>
        <w:tc>
          <w:tcPr>
            <w:tcW w:w="1404"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1.3.      </w:t>
            </w:r>
          </w:p>
        </w:tc>
        <w:tc>
          <w:tcPr>
            <w:tcW w:w="432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Оплата труда ППП                   </w:t>
            </w:r>
          </w:p>
        </w:tc>
        <w:tc>
          <w:tcPr>
            <w:tcW w:w="1638"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r w:rsidR="00B47F99">
        <w:tblPrEx>
          <w:tblCellMar>
            <w:top w:w="0" w:type="dxa"/>
            <w:bottom w:w="0" w:type="dxa"/>
          </w:tblCellMar>
        </w:tblPrEx>
        <w:trPr>
          <w:tblCellSpacing w:w="5" w:type="nil"/>
        </w:trPr>
        <w:tc>
          <w:tcPr>
            <w:tcW w:w="1404"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1.4.      </w:t>
            </w:r>
          </w:p>
        </w:tc>
        <w:tc>
          <w:tcPr>
            <w:tcW w:w="432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Отчисления на страховые взносы     </w:t>
            </w:r>
          </w:p>
        </w:tc>
        <w:tc>
          <w:tcPr>
            <w:tcW w:w="1638"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r w:rsidR="00B47F99">
        <w:tblPrEx>
          <w:tblCellMar>
            <w:top w:w="0" w:type="dxa"/>
            <w:bottom w:w="0" w:type="dxa"/>
          </w:tblCellMar>
        </w:tblPrEx>
        <w:trPr>
          <w:trHeight w:val="400"/>
          <w:tblCellSpacing w:w="5" w:type="nil"/>
        </w:trPr>
        <w:tc>
          <w:tcPr>
            <w:tcW w:w="1404"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1.5.      </w:t>
            </w:r>
          </w:p>
        </w:tc>
        <w:tc>
          <w:tcPr>
            <w:tcW w:w="432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Прочие расходы, всего, в том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числе:                             </w:t>
            </w:r>
          </w:p>
        </w:tc>
        <w:tc>
          <w:tcPr>
            <w:tcW w:w="1638"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r w:rsidR="00B47F99">
        <w:tblPrEx>
          <w:tblCellMar>
            <w:top w:w="0" w:type="dxa"/>
            <w:bottom w:w="0" w:type="dxa"/>
          </w:tblCellMar>
        </w:tblPrEx>
        <w:trPr>
          <w:trHeight w:val="400"/>
          <w:tblCellSpacing w:w="5" w:type="nil"/>
        </w:trPr>
        <w:tc>
          <w:tcPr>
            <w:tcW w:w="1404"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1.5.1.    </w:t>
            </w:r>
          </w:p>
        </w:tc>
        <w:tc>
          <w:tcPr>
            <w:tcW w:w="432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работы и услуги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производственного характера        </w:t>
            </w:r>
          </w:p>
        </w:tc>
        <w:tc>
          <w:tcPr>
            <w:tcW w:w="1638"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r w:rsidR="00B47F99">
        <w:tblPrEx>
          <w:tblCellMar>
            <w:top w:w="0" w:type="dxa"/>
            <w:bottom w:w="0" w:type="dxa"/>
          </w:tblCellMar>
        </w:tblPrEx>
        <w:trPr>
          <w:trHeight w:val="600"/>
          <w:tblCellSpacing w:w="5" w:type="nil"/>
        </w:trPr>
        <w:tc>
          <w:tcPr>
            <w:tcW w:w="1404"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1.5.2.    </w:t>
            </w:r>
          </w:p>
        </w:tc>
        <w:tc>
          <w:tcPr>
            <w:tcW w:w="432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налоги и сборы, уменьшающие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налогооблагаемую базу на прибыль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организаций, всего                 </w:t>
            </w:r>
          </w:p>
        </w:tc>
        <w:tc>
          <w:tcPr>
            <w:tcW w:w="1638"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r w:rsidR="00B47F99">
        <w:tblPrEx>
          <w:tblCellMar>
            <w:top w:w="0" w:type="dxa"/>
            <w:bottom w:w="0" w:type="dxa"/>
          </w:tblCellMar>
        </w:tblPrEx>
        <w:trPr>
          <w:trHeight w:val="600"/>
          <w:tblCellSpacing w:w="5" w:type="nil"/>
        </w:trPr>
        <w:tc>
          <w:tcPr>
            <w:tcW w:w="1404"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1.5.3.    </w:t>
            </w:r>
          </w:p>
        </w:tc>
        <w:tc>
          <w:tcPr>
            <w:tcW w:w="432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работы и услуги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непроизводственного характера, в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т.ч.:                              </w:t>
            </w:r>
          </w:p>
        </w:tc>
        <w:tc>
          <w:tcPr>
            <w:tcW w:w="1638"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r w:rsidR="00B47F99">
        <w:tblPrEx>
          <w:tblCellMar>
            <w:top w:w="0" w:type="dxa"/>
            <w:bottom w:w="0" w:type="dxa"/>
          </w:tblCellMar>
        </w:tblPrEx>
        <w:trPr>
          <w:tblCellSpacing w:w="5" w:type="nil"/>
        </w:trPr>
        <w:tc>
          <w:tcPr>
            <w:tcW w:w="1404"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1.5.3.1.  </w:t>
            </w:r>
          </w:p>
        </w:tc>
        <w:tc>
          <w:tcPr>
            <w:tcW w:w="432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услуги связи                       </w:t>
            </w:r>
          </w:p>
        </w:tc>
        <w:tc>
          <w:tcPr>
            <w:tcW w:w="1638"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r w:rsidR="00B47F99">
        <w:tblPrEx>
          <w:tblCellMar>
            <w:top w:w="0" w:type="dxa"/>
            <w:bottom w:w="0" w:type="dxa"/>
          </w:tblCellMar>
        </w:tblPrEx>
        <w:trPr>
          <w:trHeight w:val="400"/>
          <w:tblCellSpacing w:w="5" w:type="nil"/>
        </w:trPr>
        <w:tc>
          <w:tcPr>
            <w:tcW w:w="1404"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1.5.3.2.  </w:t>
            </w:r>
          </w:p>
        </w:tc>
        <w:tc>
          <w:tcPr>
            <w:tcW w:w="432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расходы на охрану и пожарную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безопасность                       </w:t>
            </w:r>
          </w:p>
        </w:tc>
        <w:tc>
          <w:tcPr>
            <w:tcW w:w="1638"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r w:rsidR="00B47F99">
        <w:tblPrEx>
          <w:tblCellMar>
            <w:top w:w="0" w:type="dxa"/>
            <w:bottom w:w="0" w:type="dxa"/>
          </w:tblCellMar>
        </w:tblPrEx>
        <w:trPr>
          <w:trHeight w:val="600"/>
          <w:tblCellSpacing w:w="5" w:type="nil"/>
        </w:trPr>
        <w:tc>
          <w:tcPr>
            <w:tcW w:w="1404"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1.5.3.3.  </w:t>
            </w:r>
          </w:p>
        </w:tc>
        <w:tc>
          <w:tcPr>
            <w:tcW w:w="432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расходы на информационное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обслуживание, консультационные и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юридические услуги                 </w:t>
            </w:r>
          </w:p>
        </w:tc>
        <w:tc>
          <w:tcPr>
            <w:tcW w:w="1638"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r w:rsidR="00B47F99">
        <w:tblPrEx>
          <w:tblCellMar>
            <w:top w:w="0" w:type="dxa"/>
            <w:bottom w:w="0" w:type="dxa"/>
          </w:tblCellMar>
        </w:tblPrEx>
        <w:trPr>
          <w:tblCellSpacing w:w="5" w:type="nil"/>
        </w:trPr>
        <w:tc>
          <w:tcPr>
            <w:tcW w:w="1404"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1.5.3.4.  </w:t>
            </w:r>
          </w:p>
        </w:tc>
        <w:tc>
          <w:tcPr>
            <w:tcW w:w="432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плата за аренду имущества          </w:t>
            </w:r>
          </w:p>
        </w:tc>
        <w:tc>
          <w:tcPr>
            <w:tcW w:w="1638"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r w:rsidR="00B47F99">
        <w:tblPrEx>
          <w:tblCellMar>
            <w:top w:w="0" w:type="dxa"/>
            <w:bottom w:w="0" w:type="dxa"/>
          </w:tblCellMar>
        </w:tblPrEx>
        <w:trPr>
          <w:trHeight w:val="400"/>
          <w:tblCellSpacing w:w="5" w:type="nil"/>
        </w:trPr>
        <w:tc>
          <w:tcPr>
            <w:tcW w:w="1404"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xml:space="preserve">1.5.3.5.  </w:t>
            </w:r>
          </w:p>
        </w:tc>
        <w:tc>
          <w:tcPr>
            <w:tcW w:w="432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другие прочие расходы, связанные с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производством и реализацией        </w:t>
            </w:r>
          </w:p>
        </w:tc>
        <w:tc>
          <w:tcPr>
            <w:tcW w:w="1638"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r w:rsidR="00B47F99">
        <w:tblPrEx>
          <w:tblCellMar>
            <w:top w:w="0" w:type="dxa"/>
            <w:bottom w:w="0" w:type="dxa"/>
          </w:tblCellMar>
        </w:tblPrEx>
        <w:trPr>
          <w:tblCellSpacing w:w="5" w:type="nil"/>
        </w:trPr>
        <w:tc>
          <w:tcPr>
            <w:tcW w:w="1404"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1.6.      </w:t>
            </w:r>
          </w:p>
        </w:tc>
        <w:tc>
          <w:tcPr>
            <w:tcW w:w="432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Внереализационные расходы, всего   </w:t>
            </w:r>
          </w:p>
        </w:tc>
        <w:tc>
          <w:tcPr>
            <w:tcW w:w="1638"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r w:rsidR="00B47F99">
        <w:tblPrEx>
          <w:tblCellMar>
            <w:top w:w="0" w:type="dxa"/>
            <w:bottom w:w="0" w:type="dxa"/>
          </w:tblCellMar>
        </w:tblPrEx>
        <w:trPr>
          <w:tblCellSpacing w:w="5" w:type="nil"/>
        </w:trPr>
        <w:tc>
          <w:tcPr>
            <w:tcW w:w="1404"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1.6.1.    </w:t>
            </w:r>
          </w:p>
        </w:tc>
        <w:tc>
          <w:tcPr>
            <w:tcW w:w="432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расходы на услуги банков         </w:t>
            </w:r>
          </w:p>
        </w:tc>
        <w:tc>
          <w:tcPr>
            <w:tcW w:w="1638"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r w:rsidR="00B47F99">
        <w:tblPrEx>
          <w:tblCellMar>
            <w:top w:w="0" w:type="dxa"/>
            <w:bottom w:w="0" w:type="dxa"/>
          </w:tblCellMar>
        </w:tblPrEx>
        <w:trPr>
          <w:tblCellSpacing w:w="5" w:type="nil"/>
        </w:trPr>
        <w:tc>
          <w:tcPr>
            <w:tcW w:w="1404"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1.6.2.    </w:t>
            </w:r>
          </w:p>
        </w:tc>
        <w:tc>
          <w:tcPr>
            <w:tcW w:w="432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за пользование кредитом        </w:t>
            </w:r>
          </w:p>
        </w:tc>
        <w:tc>
          <w:tcPr>
            <w:tcW w:w="1638"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r w:rsidR="00B47F99">
        <w:tblPrEx>
          <w:tblCellMar>
            <w:top w:w="0" w:type="dxa"/>
            <w:bottom w:w="0" w:type="dxa"/>
          </w:tblCellMar>
        </w:tblPrEx>
        <w:trPr>
          <w:tblCellSpacing w:w="5" w:type="nil"/>
        </w:trPr>
        <w:tc>
          <w:tcPr>
            <w:tcW w:w="1404"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1.6.3.    </w:t>
            </w:r>
          </w:p>
        </w:tc>
        <w:tc>
          <w:tcPr>
            <w:tcW w:w="432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прочие обоснованные расходы      </w:t>
            </w:r>
          </w:p>
        </w:tc>
        <w:tc>
          <w:tcPr>
            <w:tcW w:w="1638"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r w:rsidR="00B47F99">
        <w:tblPrEx>
          <w:tblCellMar>
            <w:top w:w="0" w:type="dxa"/>
            <w:bottom w:w="0" w:type="dxa"/>
          </w:tblCellMar>
        </w:tblPrEx>
        <w:trPr>
          <w:trHeight w:val="600"/>
          <w:tblCellSpacing w:w="5" w:type="nil"/>
        </w:trPr>
        <w:tc>
          <w:tcPr>
            <w:tcW w:w="1404"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1.6.4.    </w:t>
            </w:r>
          </w:p>
        </w:tc>
        <w:tc>
          <w:tcPr>
            <w:tcW w:w="432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денежные выплаты социального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характера (по Коллективному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договору)                          </w:t>
            </w:r>
          </w:p>
        </w:tc>
        <w:tc>
          <w:tcPr>
            <w:tcW w:w="1638"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r w:rsidR="00B47F99">
        <w:tblPrEx>
          <w:tblCellMar>
            <w:top w:w="0" w:type="dxa"/>
            <w:bottom w:w="0" w:type="dxa"/>
          </w:tblCellMar>
        </w:tblPrEx>
        <w:trPr>
          <w:trHeight w:val="1400"/>
          <w:tblCellSpacing w:w="5" w:type="nil"/>
        </w:trPr>
        <w:tc>
          <w:tcPr>
            <w:tcW w:w="1404"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432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Расходы на строительство объектов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электросетевого хозяйства - от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существующих объектов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электросетевого хозяйства до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присоединяемых энергопринимающих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устройств и (или) объектов         </w:t>
            </w:r>
          </w:p>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электроэнергетики                  </w:t>
            </w:r>
          </w:p>
        </w:tc>
        <w:tc>
          <w:tcPr>
            <w:tcW w:w="1638"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r w:rsidR="00B47F99">
        <w:tblPrEx>
          <w:tblCellMar>
            <w:top w:w="0" w:type="dxa"/>
            <w:bottom w:w="0" w:type="dxa"/>
          </w:tblCellMar>
        </w:tblPrEx>
        <w:trPr>
          <w:tblCellSpacing w:w="5" w:type="nil"/>
        </w:trPr>
        <w:tc>
          <w:tcPr>
            <w:tcW w:w="1404"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3.        </w:t>
            </w:r>
          </w:p>
        </w:tc>
        <w:tc>
          <w:tcPr>
            <w:tcW w:w="432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bookmarkStart w:id="44" w:name="Par449"/>
            <w:bookmarkEnd w:id="44"/>
            <w:r>
              <w:rPr>
                <w:rFonts w:ascii="Courier New" w:hAnsi="Courier New" w:cs="Courier New"/>
                <w:sz w:val="20"/>
                <w:szCs w:val="20"/>
              </w:rPr>
              <w:t xml:space="preserve">Выпадающие доходы/экономия средств </w:t>
            </w:r>
          </w:p>
        </w:tc>
        <w:tc>
          <w:tcPr>
            <w:tcW w:w="1638"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r w:rsidR="00B47F99">
        <w:tblPrEx>
          <w:tblCellMar>
            <w:top w:w="0" w:type="dxa"/>
            <w:bottom w:w="0" w:type="dxa"/>
          </w:tblCellMar>
        </w:tblPrEx>
        <w:trPr>
          <w:trHeight w:val="400"/>
          <w:tblCellSpacing w:w="5" w:type="nil"/>
        </w:trPr>
        <w:tc>
          <w:tcPr>
            <w:tcW w:w="1404"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4.        </w:t>
            </w:r>
          </w:p>
        </w:tc>
        <w:tc>
          <w:tcPr>
            <w:tcW w:w="4329"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Необходимая валовая выручка (сумма </w:t>
            </w:r>
          </w:p>
          <w:p w:rsidR="00B47F99" w:rsidRDefault="00B47F99">
            <w:pPr>
              <w:widowControl w:val="0"/>
              <w:autoSpaceDE w:val="0"/>
              <w:autoSpaceDN w:val="0"/>
              <w:adjustRightInd w:val="0"/>
              <w:spacing w:after="0" w:line="240" w:lineRule="auto"/>
              <w:rPr>
                <w:rFonts w:ascii="Courier New" w:hAnsi="Courier New" w:cs="Courier New"/>
                <w:sz w:val="20"/>
                <w:szCs w:val="20"/>
              </w:rPr>
            </w:pPr>
            <w:hyperlink w:anchor="Par389" w:history="1">
              <w:r>
                <w:rPr>
                  <w:rFonts w:ascii="Courier New" w:hAnsi="Courier New" w:cs="Courier New"/>
                  <w:color w:val="0000FF"/>
                  <w:sz w:val="20"/>
                  <w:szCs w:val="20"/>
                </w:rPr>
                <w:t>п. 1</w:t>
              </w:r>
            </w:hyperlink>
            <w:r>
              <w:rPr>
                <w:rFonts w:ascii="Courier New" w:hAnsi="Courier New" w:cs="Courier New"/>
                <w:sz w:val="20"/>
                <w:szCs w:val="20"/>
              </w:rPr>
              <w:t xml:space="preserve"> - </w:t>
            </w:r>
            <w:hyperlink w:anchor="Par449" w:history="1">
              <w:r>
                <w:rPr>
                  <w:rFonts w:ascii="Courier New" w:hAnsi="Courier New" w:cs="Courier New"/>
                  <w:color w:val="0000FF"/>
                  <w:sz w:val="20"/>
                  <w:szCs w:val="20"/>
                </w:rPr>
                <w:t>3</w:t>
              </w:r>
            </w:hyperlink>
            <w:r>
              <w:rPr>
                <w:rFonts w:ascii="Courier New" w:hAnsi="Courier New" w:cs="Courier New"/>
                <w:sz w:val="20"/>
                <w:szCs w:val="20"/>
              </w:rPr>
              <w:t xml:space="preserve">)                          </w:t>
            </w:r>
          </w:p>
        </w:tc>
        <w:tc>
          <w:tcPr>
            <w:tcW w:w="1638"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c>
          <w:tcPr>
            <w:tcW w:w="1755" w:type="dxa"/>
            <w:tcBorders>
              <w:left w:val="single" w:sz="8" w:space="0" w:color="auto"/>
              <w:bottom w:val="single" w:sz="8" w:space="0" w:color="auto"/>
              <w:right w:val="single" w:sz="8" w:space="0" w:color="auto"/>
            </w:tcBorders>
          </w:tcPr>
          <w:p w:rsidR="00B47F99" w:rsidRDefault="00B47F99">
            <w:pPr>
              <w:widowControl w:val="0"/>
              <w:autoSpaceDE w:val="0"/>
              <w:autoSpaceDN w:val="0"/>
              <w:adjustRightInd w:val="0"/>
              <w:spacing w:after="0" w:line="240" w:lineRule="auto"/>
              <w:rPr>
                <w:rFonts w:ascii="Courier New" w:hAnsi="Courier New" w:cs="Courier New"/>
                <w:sz w:val="20"/>
                <w:szCs w:val="20"/>
              </w:rPr>
            </w:pPr>
          </w:p>
        </w:tc>
      </w:tr>
    </w:tbl>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autoSpaceDE w:val="0"/>
        <w:autoSpaceDN w:val="0"/>
        <w:adjustRightInd w:val="0"/>
        <w:spacing w:after="0" w:line="240" w:lineRule="auto"/>
        <w:ind w:firstLine="540"/>
        <w:jc w:val="both"/>
        <w:rPr>
          <w:rFonts w:ascii="Calibri" w:hAnsi="Calibri" w:cs="Calibri"/>
        </w:rPr>
      </w:pPr>
    </w:p>
    <w:p w:rsidR="00B47F99" w:rsidRDefault="00B47F99">
      <w:pPr>
        <w:widowControl w:val="0"/>
        <w:pBdr>
          <w:bottom w:val="single" w:sz="6" w:space="0" w:color="auto"/>
        </w:pBdr>
        <w:autoSpaceDE w:val="0"/>
        <w:autoSpaceDN w:val="0"/>
        <w:adjustRightInd w:val="0"/>
        <w:spacing w:after="0" w:line="240" w:lineRule="auto"/>
        <w:rPr>
          <w:rFonts w:ascii="Calibri" w:hAnsi="Calibri" w:cs="Calibri"/>
          <w:sz w:val="5"/>
          <w:szCs w:val="5"/>
        </w:rPr>
      </w:pPr>
    </w:p>
    <w:p w:rsidR="005D76B6" w:rsidRDefault="005D76B6"/>
    <w:sectPr w:rsidR="005D76B6" w:rsidSect="00C32C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47F99"/>
    <w:rsid w:val="005D76B6"/>
    <w:rsid w:val="00B47F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76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B47F9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0D592BFAC72090E477B8F046CCCF526AB9D6068A8AE938279C0C2E93Ax9M4I" TargetMode="External"/><Relationship Id="rId18" Type="http://schemas.openxmlformats.org/officeDocument/2006/relationships/hyperlink" Target="consultantplus://offline/ref=10D592BFAC72090E477B8F046CCCF526AB9C656DAEAE938279C0C2E93A9438FA304353873D9A7357x5M7I" TargetMode="External"/><Relationship Id="rId26" Type="http://schemas.openxmlformats.org/officeDocument/2006/relationships/image" Target="media/image1.wmf"/><Relationship Id="rId39" Type="http://schemas.openxmlformats.org/officeDocument/2006/relationships/image" Target="media/image14.wmf"/><Relationship Id="rId21" Type="http://schemas.openxmlformats.org/officeDocument/2006/relationships/hyperlink" Target="consultantplus://offline/ref=10D592BFAC72090E477B8F046CCCF526AB9C656DA9A1938279C0C2E93A9438FA304353823Ex9MCI" TargetMode="External"/><Relationship Id="rId34" Type="http://schemas.openxmlformats.org/officeDocument/2006/relationships/image" Target="media/image9.wmf"/><Relationship Id="rId42" Type="http://schemas.openxmlformats.org/officeDocument/2006/relationships/image" Target="media/image17.wmf"/><Relationship Id="rId47" Type="http://schemas.openxmlformats.org/officeDocument/2006/relationships/image" Target="media/image22.wmf"/><Relationship Id="rId50" Type="http://schemas.openxmlformats.org/officeDocument/2006/relationships/image" Target="media/image25.wmf"/><Relationship Id="rId55" Type="http://schemas.openxmlformats.org/officeDocument/2006/relationships/image" Target="media/image30.wmf"/><Relationship Id="rId7" Type="http://schemas.openxmlformats.org/officeDocument/2006/relationships/hyperlink" Target="consultantplus://offline/ref=10D592BFAC72090E477B8F046CCCF526AB9C656DA9A1938279C0C2E93A9438FA304353873D9A7552x5M7I" TargetMode="External"/><Relationship Id="rId12" Type="http://schemas.openxmlformats.org/officeDocument/2006/relationships/hyperlink" Target="consultantplus://offline/ref=10D592BFAC72090E477B8F046CCCF526AB9C656DA9A1938279C0C2E93A9438FA304353873D9A7552x5M7I" TargetMode="External"/><Relationship Id="rId17" Type="http://schemas.openxmlformats.org/officeDocument/2006/relationships/hyperlink" Target="consultantplus://offline/ref=10D592BFAC72090E477B8F046CCCF526AB9C656DAEAE938279C0C2E93A9438FA304353873D9A7251x5M6I" TargetMode="External"/><Relationship Id="rId25" Type="http://schemas.openxmlformats.org/officeDocument/2006/relationships/hyperlink" Target="consultantplus://offline/ref=10D592BFAC72090E477B8F046CCCF526AB9C656DA9A1938279C0C2E93A9438FA304353873D9A7A57x5M5I" TargetMode="External"/><Relationship Id="rId33" Type="http://schemas.openxmlformats.org/officeDocument/2006/relationships/image" Target="media/image8.wmf"/><Relationship Id="rId38" Type="http://schemas.openxmlformats.org/officeDocument/2006/relationships/image" Target="media/image13.wmf"/><Relationship Id="rId46" Type="http://schemas.openxmlformats.org/officeDocument/2006/relationships/image" Target="media/image21.wmf"/><Relationship Id="rId59"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10D592BFAC72090E477B8F046CCCF526AB9D6068A8AE938279C0C2E93A9438FA304353873D9A7A56x5M1I" TargetMode="External"/><Relationship Id="rId20" Type="http://schemas.openxmlformats.org/officeDocument/2006/relationships/hyperlink" Target="consultantplus://offline/ref=10D592BFAC72090E477B8F046CCCF526AB9C656DA9A1938279C0C2E93A9438FA304353873D9A7552x5M7I" TargetMode="External"/><Relationship Id="rId29" Type="http://schemas.openxmlformats.org/officeDocument/2006/relationships/image" Target="media/image4.wmf"/><Relationship Id="rId41" Type="http://schemas.openxmlformats.org/officeDocument/2006/relationships/image" Target="media/image16.wmf"/><Relationship Id="rId54" Type="http://schemas.openxmlformats.org/officeDocument/2006/relationships/image" Target="media/image29.wmf"/><Relationship Id="rId1" Type="http://schemas.openxmlformats.org/officeDocument/2006/relationships/styles" Target="styles.xml"/><Relationship Id="rId6" Type="http://schemas.openxmlformats.org/officeDocument/2006/relationships/hyperlink" Target="consultantplus://offline/ref=10D592BFAC72090E477B8F046CCCF526AB9C656DA9A2938279C0C2E93Ax9M4I" TargetMode="External"/><Relationship Id="rId11" Type="http://schemas.openxmlformats.org/officeDocument/2006/relationships/hyperlink" Target="consultantplus://offline/ref=10D592BFAC72090E477B8F046CCCF526AB9C656DAEAE938279C0C2E93Ax9M4I" TargetMode="External"/><Relationship Id="rId24" Type="http://schemas.openxmlformats.org/officeDocument/2006/relationships/hyperlink" Target="consultantplus://offline/ref=10D592BFAC72090E477B8F046CCCF526AB9C656DA9A1938279C0C2E93A9438FA304353873D9A755Dx5M2I" TargetMode="External"/><Relationship Id="rId32" Type="http://schemas.openxmlformats.org/officeDocument/2006/relationships/image" Target="media/image7.wmf"/><Relationship Id="rId37" Type="http://schemas.openxmlformats.org/officeDocument/2006/relationships/image" Target="media/image12.wmf"/><Relationship Id="rId40" Type="http://schemas.openxmlformats.org/officeDocument/2006/relationships/image" Target="media/image15.wmf"/><Relationship Id="rId45" Type="http://schemas.openxmlformats.org/officeDocument/2006/relationships/image" Target="media/image20.wmf"/><Relationship Id="rId53" Type="http://schemas.openxmlformats.org/officeDocument/2006/relationships/image" Target="media/image28.wmf"/><Relationship Id="rId58" Type="http://schemas.openxmlformats.org/officeDocument/2006/relationships/image" Target="media/image33.wmf"/><Relationship Id="rId5" Type="http://schemas.openxmlformats.org/officeDocument/2006/relationships/hyperlink" Target="consultantplus://offline/ref=10D592BFAC72090E477B8F046CCCF526AB9C6469AFA6938279C0C2E93A9438FA30435387x3M5I" TargetMode="External"/><Relationship Id="rId15" Type="http://schemas.openxmlformats.org/officeDocument/2006/relationships/hyperlink" Target="consultantplus://offline/ref=10D592BFAC72090E477B8F046CCCF526AB9C656DA9A1938279C0C2E93Ax9M4I" TargetMode="External"/><Relationship Id="rId23" Type="http://schemas.openxmlformats.org/officeDocument/2006/relationships/hyperlink" Target="consultantplus://offline/ref=10D592BFAC72090E477B8F046CCCF526AB9C656DAEAE938279C0C2E93A9438FA304353873D9A7251x5M6I" TargetMode="External"/><Relationship Id="rId28" Type="http://schemas.openxmlformats.org/officeDocument/2006/relationships/image" Target="media/image3.wmf"/><Relationship Id="rId36" Type="http://schemas.openxmlformats.org/officeDocument/2006/relationships/image" Target="media/image11.wmf"/><Relationship Id="rId49" Type="http://schemas.openxmlformats.org/officeDocument/2006/relationships/image" Target="media/image24.wmf"/><Relationship Id="rId57" Type="http://schemas.openxmlformats.org/officeDocument/2006/relationships/image" Target="media/image32.wmf"/><Relationship Id="rId10" Type="http://schemas.openxmlformats.org/officeDocument/2006/relationships/hyperlink" Target="consultantplus://offline/ref=10D592BFAC72090E477B8F046CCCF526AB9D6068A8AE938279C0C2E93Ax9M4I" TargetMode="External"/><Relationship Id="rId19" Type="http://schemas.openxmlformats.org/officeDocument/2006/relationships/hyperlink" Target="consultantplus://offline/ref=10D592BFAC72090E477B8F046CCCF526AB9C656DA9A1938279C0C2E93A9438FA304353873D9A7A5Dx5M6I" TargetMode="External"/><Relationship Id="rId31" Type="http://schemas.openxmlformats.org/officeDocument/2006/relationships/image" Target="media/image6.wmf"/><Relationship Id="rId44" Type="http://schemas.openxmlformats.org/officeDocument/2006/relationships/image" Target="media/image19.wmf"/><Relationship Id="rId52" Type="http://schemas.openxmlformats.org/officeDocument/2006/relationships/image" Target="media/image27.wmf"/><Relationship Id="rId60" Type="http://schemas.openxmlformats.org/officeDocument/2006/relationships/theme" Target="theme/theme1.xml"/><Relationship Id="rId4" Type="http://schemas.openxmlformats.org/officeDocument/2006/relationships/hyperlink" Target="consultantplus://offline/ref=10D592BFAC72090E477B8F046CCCF526AB9D6068A8AE938279C0C2E93A9438FA304353873D9B7357x5M1I" TargetMode="External"/><Relationship Id="rId9" Type="http://schemas.openxmlformats.org/officeDocument/2006/relationships/hyperlink" Target="consultantplus://offline/ref=10D592BFAC72090E477B8F046CCCF526AB986D6EABA1938279C0C2E93Ax9M4I" TargetMode="External"/><Relationship Id="rId14" Type="http://schemas.openxmlformats.org/officeDocument/2006/relationships/hyperlink" Target="consultantplus://offline/ref=10D592BFAC72090E477B8F046CCCF526AB9C656DAEAE938279C0C2E93A9438FA304353873D9A7251x5M6I" TargetMode="External"/><Relationship Id="rId22" Type="http://schemas.openxmlformats.org/officeDocument/2006/relationships/hyperlink" Target="consultantplus://offline/ref=10D592BFAC72090E477B8F046CCCF526AB9C656DA9A1938279C0C2E93A9438FA304353873D9B725Dx5M1I" TargetMode="External"/><Relationship Id="rId27" Type="http://schemas.openxmlformats.org/officeDocument/2006/relationships/image" Target="media/image2.wmf"/><Relationship Id="rId30" Type="http://schemas.openxmlformats.org/officeDocument/2006/relationships/image" Target="media/image5.wmf"/><Relationship Id="rId35"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image" Target="media/image23.wmf"/><Relationship Id="rId56" Type="http://schemas.openxmlformats.org/officeDocument/2006/relationships/image" Target="media/image31.wmf"/><Relationship Id="rId8" Type="http://schemas.openxmlformats.org/officeDocument/2006/relationships/hyperlink" Target="consultantplus://offline/ref=10D592BFAC72090E477B8F046CCCF526AB986D6EACAF938279C0C2E93Ax9M4I" TargetMode="External"/><Relationship Id="rId51" Type="http://schemas.openxmlformats.org/officeDocument/2006/relationships/image" Target="media/image26.wmf"/><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8244</Words>
  <Characters>46995</Characters>
  <Application>Microsoft Office Word</Application>
  <DocSecurity>0</DocSecurity>
  <Lines>391</Lines>
  <Paragraphs>110</Paragraphs>
  <ScaleCrop>false</ScaleCrop>
  <Company>Kubanenergo</Company>
  <LinksUpToDate>false</LinksUpToDate>
  <CharactersWithSpaces>55129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koktashts</dc:creator>
  <cp:keywords/>
  <dc:description/>
  <cp:lastModifiedBy>koktashts</cp:lastModifiedBy>
  <cp:revision>1</cp:revision>
  <dcterms:created xsi:type="dcterms:W3CDTF">2013-09-25T08:12:00Z</dcterms:created>
  <dcterms:modified xsi:type="dcterms:W3CDTF">2013-09-25T08:13:00Z</dcterms:modified>
</cp:coreProperties>
</file>