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1350" w14:textId="77777777" w:rsidR="00FC5027" w:rsidRPr="00FC5027" w:rsidRDefault="00FC5027" w:rsidP="00FC5027">
      <w:pPr>
        <w:pStyle w:val="a3"/>
        <w:jc w:val="center"/>
        <w:rPr>
          <w:rFonts w:ascii="Times New Roman" w:hAnsi="Times New Roman" w:cs="Times New Roman"/>
          <w:b/>
          <w:sz w:val="24"/>
          <w:szCs w:val="24"/>
          <w:lang w:val="en-US"/>
        </w:rPr>
      </w:pPr>
      <w:r w:rsidRPr="00FC5027">
        <w:rPr>
          <w:rFonts w:ascii="Times New Roman" w:hAnsi="Times New Roman" w:cs="Times New Roman"/>
          <w:b/>
          <w:sz w:val="24"/>
          <w:szCs w:val="24"/>
          <w:lang w:val="en-US"/>
        </w:rPr>
        <w:t>Corporate action notification</w:t>
      </w:r>
    </w:p>
    <w:p w14:paraId="6091DF3E" w14:textId="77777777" w:rsidR="00FC5027" w:rsidRPr="00FC5027" w:rsidRDefault="00FC5027" w:rsidP="00FC5027">
      <w:pPr>
        <w:pStyle w:val="a3"/>
        <w:jc w:val="center"/>
        <w:rPr>
          <w:rFonts w:ascii="Times New Roman" w:hAnsi="Times New Roman" w:cs="Times New Roman"/>
          <w:b/>
          <w:sz w:val="24"/>
          <w:szCs w:val="24"/>
          <w:lang w:val="en-US"/>
        </w:rPr>
      </w:pPr>
      <w:r w:rsidRPr="00FC5027">
        <w:rPr>
          <w:rFonts w:ascii="Times New Roman" w:hAnsi="Times New Roman" w:cs="Times New Roman"/>
          <w:b/>
          <w:sz w:val="24"/>
          <w:szCs w:val="24"/>
          <w:lang w:val="en-US"/>
        </w:rPr>
        <w:t>“</w:t>
      </w:r>
      <w:proofErr w:type="gramStart"/>
      <w:r w:rsidRPr="00FC5027">
        <w:rPr>
          <w:rFonts w:ascii="Times New Roman" w:hAnsi="Times New Roman" w:cs="Times New Roman"/>
          <w:b/>
          <w:sz w:val="24"/>
          <w:szCs w:val="24"/>
          <w:lang w:val="en-US"/>
        </w:rPr>
        <w:t>concerning</w:t>
      </w:r>
      <w:proofErr w:type="gramEnd"/>
      <w:r w:rsidRPr="00FC5027">
        <w:rPr>
          <w:rFonts w:ascii="Times New Roman" w:hAnsi="Times New Roman" w:cs="Times New Roman"/>
          <w:b/>
          <w:sz w:val="24"/>
          <w:szCs w:val="24"/>
          <w:lang w:val="en-US"/>
        </w:rPr>
        <w:t xml:space="preserve"> the date on which the persons who have the right to exercise of rights on securities are determined, including the date on which the list of persons who have the right to participate in the General Meeting of Shareholders of the Issuer is made”</w:t>
      </w:r>
    </w:p>
    <w:p w14:paraId="56C975F4" w14:textId="572E3F0A" w:rsidR="00773A71" w:rsidRDefault="00FC5027" w:rsidP="00FC5027">
      <w:pPr>
        <w:pStyle w:val="a3"/>
        <w:jc w:val="center"/>
        <w:rPr>
          <w:rFonts w:ascii="Times New Roman" w:hAnsi="Times New Roman" w:cs="Times New Roman"/>
          <w:b/>
          <w:sz w:val="24"/>
          <w:szCs w:val="24"/>
        </w:rPr>
      </w:pPr>
      <w:r w:rsidRPr="00FC5027">
        <w:rPr>
          <w:rFonts w:ascii="Times New Roman" w:hAnsi="Times New Roman" w:cs="Times New Roman"/>
          <w:b/>
          <w:sz w:val="24"/>
          <w:szCs w:val="24"/>
        </w:rPr>
        <w:t>(</w:t>
      </w:r>
      <w:proofErr w:type="spellStart"/>
      <w:r w:rsidRPr="00FC5027">
        <w:rPr>
          <w:rFonts w:ascii="Times New Roman" w:hAnsi="Times New Roman" w:cs="Times New Roman"/>
          <w:b/>
          <w:sz w:val="24"/>
          <w:szCs w:val="24"/>
        </w:rPr>
        <w:t>disclosure</w:t>
      </w:r>
      <w:proofErr w:type="spellEnd"/>
      <w:r w:rsidRPr="00FC5027">
        <w:rPr>
          <w:rFonts w:ascii="Times New Roman" w:hAnsi="Times New Roman" w:cs="Times New Roman"/>
          <w:b/>
          <w:sz w:val="24"/>
          <w:szCs w:val="24"/>
        </w:rPr>
        <w:t xml:space="preserve"> </w:t>
      </w:r>
      <w:proofErr w:type="spellStart"/>
      <w:r w:rsidRPr="00FC5027">
        <w:rPr>
          <w:rFonts w:ascii="Times New Roman" w:hAnsi="Times New Roman" w:cs="Times New Roman"/>
          <w:b/>
          <w:sz w:val="24"/>
          <w:szCs w:val="24"/>
        </w:rPr>
        <w:t>of</w:t>
      </w:r>
      <w:proofErr w:type="spellEnd"/>
      <w:r w:rsidRPr="00FC5027">
        <w:rPr>
          <w:rFonts w:ascii="Times New Roman" w:hAnsi="Times New Roman" w:cs="Times New Roman"/>
          <w:b/>
          <w:sz w:val="24"/>
          <w:szCs w:val="24"/>
        </w:rPr>
        <w:t xml:space="preserve"> </w:t>
      </w:r>
      <w:proofErr w:type="spellStart"/>
      <w:r w:rsidRPr="00FC5027">
        <w:rPr>
          <w:rFonts w:ascii="Times New Roman" w:hAnsi="Times New Roman" w:cs="Times New Roman"/>
          <w:b/>
          <w:sz w:val="24"/>
          <w:szCs w:val="24"/>
        </w:rPr>
        <w:t>insider</w:t>
      </w:r>
      <w:proofErr w:type="spellEnd"/>
      <w:r w:rsidRPr="00FC5027">
        <w:rPr>
          <w:rFonts w:ascii="Times New Roman" w:hAnsi="Times New Roman" w:cs="Times New Roman"/>
          <w:b/>
          <w:sz w:val="24"/>
          <w:szCs w:val="24"/>
        </w:rPr>
        <w:t xml:space="preserve"> </w:t>
      </w:r>
      <w:proofErr w:type="spellStart"/>
      <w:r w:rsidRPr="00FC5027">
        <w:rPr>
          <w:rFonts w:ascii="Times New Roman" w:hAnsi="Times New Roman" w:cs="Times New Roman"/>
          <w:b/>
          <w:sz w:val="24"/>
          <w:szCs w:val="24"/>
        </w:rPr>
        <w:t>information</w:t>
      </w:r>
      <w:proofErr w:type="spellEnd"/>
      <w:r w:rsidRPr="00FC5027">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3794"/>
        <w:gridCol w:w="5777"/>
      </w:tblGrid>
      <w:tr w:rsidR="0045226D" w:rsidRPr="00F40944" w14:paraId="7D0077FB" w14:textId="77777777" w:rsidTr="004B3BBC">
        <w:tc>
          <w:tcPr>
            <w:tcW w:w="9571" w:type="dxa"/>
            <w:gridSpan w:val="2"/>
          </w:tcPr>
          <w:p w14:paraId="09BEEFC1" w14:textId="28524306" w:rsidR="0045226D" w:rsidRPr="00F40944" w:rsidRDefault="00017B71" w:rsidP="0045226D">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017B71" w:rsidRPr="00017B71" w14:paraId="14A6BEE5" w14:textId="77777777" w:rsidTr="00792EEE">
        <w:trPr>
          <w:trHeight w:val="599"/>
        </w:trPr>
        <w:tc>
          <w:tcPr>
            <w:tcW w:w="3794" w:type="dxa"/>
          </w:tcPr>
          <w:p w14:paraId="1607D338" w14:textId="66CDC748" w:rsidR="00017B71" w:rsidRPr="00017B71" w:rsidRDefault="00017B71" w:rsidP="00017B71">
            <w:pPr>
              <w:pStyle w:val="a3"/>
              <w:rPr>
                <w:rFonts w:ascii="Times New Roman" w:hAnsi="Times New Roman" w:cs="Times New Roman"/>
                <w:b/>
                <w:bCs/>
                <w:lang w:val="en-US"/>
              </w:rPr>
            </w:pPr>
            <w:r w:rsidRPr="00017B71">
              <w:rPr>
                <w:rFonts w:ascii="Times New Roman" w:hAnsi="Times New Roman" w:cs="Times New Roman"/>
                <w:b/>
                <w:bCs/>
                <w:lang w:val="en-US"/>
              </w:rPr>
              <w:t xml:space="preserve">1.1. Full corporate name of the issuer </w:t>
            </w:r>
          </w:p>
        </w:tc>
        <w:tc>
          <w:tcPr>
            <w:tcW w:w="5777" w:type="dxa"/>
            <w:vAlign w:val="center"/>
          </w:tcPr>
          <w:p w14:paraId="453EC8B6" w14:textId="6BC3BEC2" w:rsidR="00017B71" w:rsidRPr="00017B71" w:rsidRDefault="00017B71" w:rsidP="00017B71">
            <w:pPr>
              <w:pStyle w:val="a3"/>
              <w:rPr>
                <w:rFonts w:ascii="Times New Roman" w:hAnsi="Times New Roman" w:cs="Times New Roman"/>
                <w:lang w:val="en-US"/>
              </w:rPr>
            </w:pPr>
            <w:r w:rsidRPr="00017B71">
              <w:rPr>
                <w:rFonts w:ascii="Times New Roman" w:hAnsi="Times New Roman" w:cs="Times New Roman"/>
                <w:lang w:val="en-US"/>
              </w:rPr>
              <w:t>Public Joint Stock Company Rosseti Kuban</w:t>
            </w:r>
          </w:p>
        </w:tc>
      </w:tr>
      <w:tr w:rsidR="00017B71" w:rsidRPr="00F40944" w14:paraId="4583A2DA" w14:textId="77777777" w:rsidTr="00792EEE">
        <w:tc>
          <w:tcPr>
            <w:tcW w:w="3794" w:type="dxa"/>
          </w:tcPr>
          <w:p w14:paraId="5BF60353" w14:textId="137FC6E7" w:rsidR="00017B71" w:rsidRPr="00017B71" w:rsidRDefault="00017B71" w:rsidP="00017B71">
            <w:pPr>
              <w:pStyle w:val="a3"/>
              <w:rPr>
                <w:rFonts w:ascii="Times New Roman" w:hAnsi="Times New Roman" w:cs="Times New Roman"/>
                <w:b/>
                <w:bCs/>
                <w:lang w:val="en-US"/>
              </w:rPr>
            </w:pPr>
            <w:r w:rsidRPr="00017B71">
              <w:rPr>
                <w:rFonts w:ascii="Times New Roman" w:hAnsi="Times New Roman" w:cs="Times New Roman"/>
                <w:b/>
                <w:bCs/>
                <w:lang w:val="en-US"/>
              </w:rPr>
              <w:t>1.2. Short name of the issuer</w:t>
            </w:r>
          </w:p>
        </w:tc>
        <w:tc>
          <w:tcPr>
            <w:tcW w:w="5777" w:type="dxa"/>
            <w:vAlign w:val="center"/>
          </w:tcPr>
          <w:p w14:paraId="07EA6078" w14:textId="17E3F60D" w:rsidR="00017B71" w:rsidRPr="00017B71" w:rsidRDefault="00017B71" w:rsidP="00017B71">
            <w:pPr>
              <w:pStyle w:val="a3"/>
              <w:rPr>
                <w:rFonts w:ascii="Times New Roman" w:hAnsi="Times New Roman" w:cs="Times New Roman"/>
              </w:rPr>
            </w:pPr>
            <w:r w:rsidRPr="00017B71">
              <w:rPr>
                <w:rFonts w:ascii="Times New Roman" w:hAnsi="Times New Roman" w:cs="Times New Roman"/>
              </w:rPr>
              <w:t xml:space="preserve">PJSC Rosseti </w:t>
            </w:r>
            <w:proofErr w:type="spellStart"/>
            <w:r w:rsidRPr="00017B71">
              <w:rPr>
                <w:rFonts w:ascii="Times New Roman" w:hAnsi="Times New Roman" w:cs="Times New Roman"/>
              </w:rPr>
              <w:t>Kuban</w:t>
            </w:r>
            <w:proofErr w:type="spellEnd"/>
          </w:p>
        </w:tc>
      </w:tr>
      <w:tr w:rsidR="00017B71" w:rsidRPr="00F40944" w14:paraId="240DCC7C" w14:textId="77777777" w:rsidTr="00792EEE">
        <w:tc>
          <w:tcPr>
            <w:tcW w:w="3794" w:type="dxa"/>
          </w:tcPr>
          <w:p w14:paraId="660B5511" w14:textId="62F7B326" w:rsidR="00017B71" w:rsidRPr="00017B71" w:rsidRDefault="00017B71" w:rsidP="00017B71">
            <w:pPr>
              <w:pStyle w:val="a3"/>
              <w:rPr>
                <w:rFonts w:ascii="Times New Roman" w:hAnsi="Times New Roman" w:cs="Times New Roman"/>
                <w:b/>
                <w:bCs/>
                <w:lang w:val="en-US"/>
              </w:rPr>
            </w:pPr>
            <w:r w:rsidRPr="00017B71">
              <w:rPr>
                <w:rFonts w:ascii="Times New Roman" w:hAnsi="Times New Roman" w:cs="Times New Roman"/>
                <w:b/>
                <w:bCs/>
                <w:lang w:val="en-US"/>
              </w:rPr>
              <w:t>1.3. Registered office of the issuer</w:t>
            </w:r>
          </w:p>
        </w:tc>
        <w:tc>
          <w:tcPr>
            <w:tcW w:w="5777" w:type="dxa"/>
            <w:vAlign w:val="center"/>
          </w:tcPr>
          <w:p w14:paraId="5BCB5F24" w14:textId="34B3498E" w:rsidR="00017B71" w:rsidRPr="00017B71" w:rsidRDefault="00017B71" w:rsidP="00017B71">
            <w:pPr>
              <w:rPr>
                <w:sz w:val="22"/>
                <w:szCs w:val="22"/>
              </w:rPr>
            </w:pPr>
            <w:r w:rsidRPr="00017B71">
              <w:rPr>
                <w:sz w:val="22"/>
                <w:szCs w:val="22"/>
                <w:lang w:val="en-US"/>
              </w:rPr>
              <w:t>Russian Federation, Krasnodar</w:t>
            </w:r>
          </w:p>
        </w:tc>
      </w:tr>
      <w:tr w:rsidR="00017B71" w:rsidRPr="00F40944" w14:paraId="73AAC9C7" w14:textId="77777777" w:rsidTr="00C14210">
        <w:tc>
          <w:tcPr>
            <w:tcW w:w="3794" w:type="dxa"/>
          </w:tcPr>
          <w:p w14:paraId="406A73CF" w14:textId="57621959" w:rsidR="00017B71" w:rsidRPr="00017B71" w:rsidRDefault="00017B71" w:rsidP="00017B71">
            <w:pPr>
              <w:pStyle w:val="a3"/>
              <w:rPr>
                <w:rFonts w:ascii="Times New Roman" w:hAnsi="Times New Roman" w:cs="Times New Roman"/>
                <w:b/>
                <w:bCs/>
              </w:rPr>
            </w:pPr>
            <w:r w:rsidRPr="00017B71">
              <w:rPr>
                <w:rFonts w:ascii="Times New Roman" w:hAnsi="Times New Roman" w:cs="Times New Roman"/>
                <w:b/>
                <w:bCs/>
              </w:rPr>
              <w:t xml:space="preserve">1.4. PSRN </w:t>
            </w:r>
            <w:proofErr w:type="spellStart"/>
            <w:r w:rsidRPr="00017B71">
              <w:rPr>
                <w:rFonts w:ascii="Times New Roman" w:hAnsi="Times New Roman" w:cs="Times New Roman"/>
                <w:b/>
                <w:bCs/>
              </w:rPr>
              <w:t>of</w:t>
            </w:r>
            <w:proofErr w:type="spellEnd"/>
            <w:r w:rsidRPr="00017B71">
              <w:rPr>
                <w:rFonts w:ascii="Times New Roman" w:hAnsi="Times New Roman" w:cs="Times New Roman"/>
                <w:b/>
                <w:bCs/>
              </w:rPr>
              <w:t xml:space="preserve"> </w:t>
            </w:r>
            <w:proofErr w:type="spellStart"/>
            <w:r w:rsidRPr="00017B71">
              <w:rPr>
                <w:rFonts w:ascii="Times New Roman" w:hAnsi="Times New Roman" w:cs="Times New Roman"/>
                <w:b/>
                <w:bCs/>
              </w:rPr>
              <w:t>the</w:t>
            </w:r>
            <w:proofErr w:type="spellEnd"/>
            <w:r w:rsidRPr="00017B71">
              <w:rPr>
                <w:rFonts w:ascii="Times New Roman" w:hAnsi="Times New Roman" w:cs="Times New Roman"/>
                <w:b/>
                <w:bCs/>
              </w:rPr>
              <w:t xml:space="preserve"> </w:t>
            </w:r>
            <w:proofErr w:type="spellStart"/>
            <w:r w:rsidRPr="00017B71">
              <w:rPr>
                <w:rFonts w:ascii="Times New Roman" w:hAnsi="Times New Roman" w:cs="Times New Roman"/>
                <w:b/>
                <w:bCs/>
              </w:rPr>
              <w:t>issuer</w:t>
            </w:r>
            <w:proofErr w:type="spellEnd"/>
          </w:p>
        </w:tc>
        <w:tc>
          <w:tcPr>
            <w:tcW w:w="5777" w:type="dxa"/>
          </w:tcPr>
          <w:p w14:paraId="4EE99FF8" w14:textId="77777777" w:rsidR="00017B71" w:rsidRPr="00F40944" w:rsidRDefault="00017B71" w:rsidP="00017B71">
            <w:pPr>
              <w:pStyle w:val="a3"/>
              <w:rPr>
                <w:rFonts w:ascii="Times New Roman" w:hAnsi="Times New Roman" w:cs="Times New Roman"/>
              </w:rPr>
            </w:pPr>
            <w:r w:rsidRPr="00F40944">
              <w:rPr>
                <w:rFonts w:ascii="Times New Roman" w:hAnsi="Times New Roman" w:cs="Times New Roman"/>
              </w:rPr>
              <w:t>1022301427268</w:t>
            </w:r>
          </w:p>
        </w:tc>
      </w:tr>
      <w:tr w:rsidR="00017B71" w:rsidRPr="00F40944" w14:paraId="2C3EBE0D" w14:textId="77777777" w:rsidTr="00C14210">
        <w:tc>
          <w:tcPr>
            <w:tcW w:w="3794" w:type="dxa"/>
          </w:tcPr>
          <w:p w14:paraId="7A0BCB94" w14:textId="05C9FF51" w:rsidR="00017B71" w:rsidRPr="00017B71" w:rsidRDefault="00017B71" w:rsidP="00017B71">
            <w:pPr>
              <w:pStyle w:val="a3"/>
              <w:rPr>
                <w:rFonts w:ascii="Times New Roman" w:hAnsi="Times New Roman" w:cs="Times New Roman"/>
                <w:b/>
                <w:bCs/>
              </w:rPr>
            </w:pPr>
            <w:r w:rsidRPr="00017B71">
              <w:rPr>
                <w:rFonts w:ascii="Times New Roman" w:hAnsi="Times New Roman" w:cs="Times New Roman"/>
                <w:b/>
                <w:bCs/>
              </w:rPr>
              <w:t xml:space="preserve">1.5. TIN </w:t>
            </w:r>
            <w:proofErr w:type="spellStart"/>
            <w:r w:rsidRPr="00017B71">
              <w:rPr>
                <w:rFonts w:ascii="Times New Roman" w:hAnsi="Times New Roman" w:cs="Times New Roman"/>
                <w:b/>
                <w:bCs/>
              </w:rPr>
              <w:t>of</w:t>
            </w:r>
            <w:proofErr w:type="spellEnd"/>
            <w:r w:rsidRPr="00017B71">
              <w:rPr>
                <w:rFonts w:ascii="Times New Roman" w:hAnsi="Times New Roman" w:cs="Times New Roman"/>
                <w:b/>
                <w:bCs/>
              </w:rPr>
              <w:t xml:space="preserve"> </w:t>
            </w:r>
            <w:proofErr w:type="spellStart"/>
            <w:r w:rsidRPr="00017B71">
              <w:rPr>
                <w:rFonts w:ascii="Times New Roman" w:hAnsi="Times New Roman" w:cs="Times New Roman"/>
                <w:b/>
                <w:bCs/>
              </w:rPr>
              <w:t>the</w:t>
            </w:r>
            <w:proofErr w:type="spellEnd"/>
            <w:r w:rsidRPr="00017B71">
              <w:rPr>
                <w:rFonts w:ascii="Times New Roman" w:hAnsi="Times New Roman" w:cs="Times New Roman"/>
                <w:b/>
                <w:bCs/>
              </w:rPr>
              <w:t xml:space="preserve"> </w:t>
            </w:r>
            <w:proofErr w:type="spellStart"/>
            <w:r w:rsidRPr="00017B71">
              <w:rPr>
                <w:rFonts w:ascii="Times New Roman" w:hAnsi="Times New Roman" w:cs="Times New Roman"/>
                <w:b/>
                <w:bCs/>
              </w:rPr>
              <w:t>issuer</w:t>
            </w:r>
            <w:proofErr w:type="spellEnd"/>
          </w:p>
        </w:tc>
        <w:tc>
          <w:tcPr>
            <w:tcW w:w="5777" w:type="dxa"/>
          </w:tcPr>
          <w:p w14:paraId="318DE95F" w14:textId="77777777" w:rsidR="00017B71" w:rsidRPr="00F40944" w:rsidRDefault="00017B71" w:rsidP="00017B71">
            <w:pPr>
              <w:pStyle w:val="a3"/>
              <w:rPr>
                <w:rFonts w:ascii="Times New Roman" w:hAnsi="Times New Roman" w:cs="Times New Roman"/>
              </w:rPr>
            </w:pPr>
            <w:r w:rsidRPr="00F40944">
              <w:rPr>
                <w:rFonts w:ascii="Times New Roman" w:hAnsi="Times New Roman" w:cs="Times New Roman"/>
              </w:rPr>
              <w:t>2309001660</w:t>
            </w:r>
          </w:p>
        </w:tc>
      </w:tr>
      <w:tr w:rsidR="00017B71" w:rsidRPr="00F40944" w14:paraId="4FAE7BBB" w14:textId="77777777" w:rsidTr="00C14210">
        <w:tc>
          <w:tcPr>
            <w:tcW w:w="3794" w:type="dxa"/>
          </w:tcPr>
          <w:p w14:paraId="7E0DB8B5" w14:textId="1000AE2A" w:rsidR="00017B71" w:rsidRPr="00017B71" w:rsidRDefault="00017B71" w:rsidP="00017B71">
            <w:pPr>
              <w:pStyle w:val="a3"/>
              <w:rPr>
                <w:rFonts w:ascii="Times New Roman" w:hAnsi="Times New Roman" w:cs="Times New Roman"/>
                <w:b/>
                <w:bCs/>
                <w:lang w:val="en-US"/>
              </w:rPr>
            </w:pPr>
            <w:r w:rsidRPr="00017B71">
              <w:rPr>
                <w:rFonts w:ascii="Times New Roman" w:hAnsi="Times New Roman" w:cs="Times New Roman"/>
                <w:b/>
                <w:bCs/>
                <w:lang w:val="en-US"/>
              </w:rPr>
              <w:t>1.6. Unique code of the issuer assigned by the registration body</w:t>
            </w:r>
          </w:p>
        </w:tc>
        <w:tc>
          <w:tcPr>
            <w:tcW w:w="5777" w:type="dxa"/>
          </w:tcPr>
          <w:p w14:paraId="6F73FC99" w14:textId="77777777" w:rsidR="00017B71" w:rsidRPr="00F40944" w:rsidRDefault="00017B71" w:rsidP="00017B71">
            <w:pPr>
              <w:pStyle w:val="a3"/>
              <w:tabs>
                <w:tab w:val="left" w:pos="1930"/>
              </w:tabs>
              <w:rPr>
                <w:rFonts w:ascii="Times New Roman" w:hAnsi="Times New Roman" w:cs="Times New Roman"/>
              </w:rPr>
            </w:pPr>
            <w:r w:rsidRPr="00F40944">
              <w:rPr>
                <w:rFonts w:ascii="Times New Roman" w:hAnsi="Times New Roman" w:cs="Times New Roman"/>
              </w:rPr>
              <w:t>00063-А</w:t>
            </w:r>
          </w:p>
        </w:tc>
      </w:tr>
      <w:tr w:rsidR="00017B71" w:rsidRPr="00F40944" w14:paraId="73F3F305" w14:textId="77777777" w:rsidTr="00C14210">
        <w:tc>
          <w:tcPr>
            <w:tcW w:w="3794" w:type="dxa"/>
          </w:tcPr>
          <w:p w14:paraId="73CDA267" w14:textId="2565E61C" w:rsidR="00017B71" w:rsidRPr="00017B71" w:rsidRDefault="00017B71" w:rsidP="00017B71">
            <w:pPr>
              <w:pStyle w:val="a3"/>
              <w:rPr>
                <w:rFonts w:ascii="Times New Roman" w:hAnsi="Times New Roman" w:cs="Times New Roman"/>
                <w:b/>
                <w:bCs/>
                <w:lang w:val="en-US"/>
              </w:rPr>
            </w:pPr>
            <w:r w:rsidRPr="00017B71">
              <w:rPr>
                <w:rFonts w:ascii="Times New Roman" w:hAnsi="Times New Roman" w:cs="Times New Roman"/>
                <w:b/>
                <w:bCs/>
                <w:lang w:val="en-US"/>
              </w:rPr>
              <w:t>1.7. URL used by the issuer for information disclosure</w:t>
            </w:r>
          </w:p>
        </w:tc>
        <w:tc>
          <w:tcPr>
            <w:tcW w:w="5777" w:type="dxa"/>
          </w:tcPr>
          <w:p w14:paraId="32DC31B8" w14:textId="77777777" w:rsidR="00017B71" w:rsidRPr="00D53BFF" w:rsidRDefault="00017B71" w:rsidP="00017B71">
            <w:pPr>
              <w:pStyle w:val="a3"/>
              <w:rPr>
                <w:rFonts w:ascii="Times New Roman" w:hAnsi="Times New Roman" w:cs="Times New Roman"/>
                <w:i/>
              </w:rPr>
            </w:pPr>
            <w:hyperlink r:id="rId6" w:history="1">
              <w:r w:rsidRPr="00D53BFF">
                <w:rPr>
                  <w:rStyle w:val="af3"/>
                  <w:rFonts w:ascii="Times New Roman" w:hAnsi="Times New Roman" w:cs="Times New Roman"/>
                </w:rPr>
                <w:t>https://rosseti-kuban.ru/</w:t>
              </w:r>
            </w:hyperlink>
            <w:r w:rsidRPr="00D53BFF">
              <w:rPr>
                <w:rFonts w:ascii="Times New Roman" w:hAnsi="Times New Roman" w:cs="Times New Roman"/>
                <w:i/>
              </w:rPr>
              <w:t>,</w:t>
            </w:r>
          </w:p>
          <w:p w14:paraId="446C33B0" w14:textId="77777777" w:rsidR="00017B71" w:rsidRPr="00D53BFF" w:rsidRDefault="00017B71" w:rsidP="00017B71">
            <w:pPr>
              <w:pStyle w:val="a3"/>
              <w:rPr>
                <w:rFonts w:ascii="Times New Roman" w:hAnsi="Times New Roman" w:cs="Times New Roman"/>
              </w:rPr>
            </w:pPr>
            <w:hyperlink r:id="rId7" w:history="1">
              <w:r w:rsidRPr="00D53BFF">
                <w:rPr>
                  <w:rStyle w:val="af3"/>
                  <w:rFonts w:ascii="Times New Roman" w:hAnsi="Times New Roman" w:cs="Times New Roman"/>
                </w:rPr>
                <w:t>http://www.e-disclosure.ru/portal/company.aspx?id=2827</w:t>
              </w:r>
            </w:hyperlink>
            <w:r w:rsidRPr="00D53BFF">
              <w:rPr>
                <w:rFonts w:ascii="Times New Roman" w:hAnsi="Times New Roman" w:cs="Times New Roman"/>
              </w:rPr>
              <w:t xml:space="preserve"> </w:t>
            </w:r>
          </w:p>
          <w:p w14:paraId="0607CA99" w14:textId="77777777" w:rsidR="00017B71" w:rsidRPr="00D53BFF" w:rsidRDefault="00017B71" w:rsidP="00017B71">
            <w:pPr>
              <w:pStyle w:val="a3"/>
              <w:rPr>
                <w:rFonts w:ascii="Times New Roman" w:hAnsi="Times New Roman" w:cs="Times New Roman"/>
              </w:rPr>
            </w:pPr>
          </w:p>
        </w:tc>
      </w:tr>
      <w:tr w:rsidR="00017B71" w:rsidRPr="00F40944" w14:paraId="33E6F794" w14:textId="77777777" w:rsidTr="00C14210">
        <w:tc>
          <w:tcPr>
            <w:tcW w:w="3794" w:type="dxa"/>
          </w:tcPr>
          <w:p w14:paraId="70BF03CB" w14:textId="26891CC9" w:rsidR="00017B71" w:rsidRPr="00017B71" w:rsidRDefault="00017B71" w:rsidP="00017B71">
            <w:pPr>
              <w:pStyle w:val="a3"/>
              <w:jc w:val="both"/>
              <w:rPr>
                <w:rFonts w:ascii="Times New Roman" w:hAnsi="Times New Roman" w:cs="Times New Roman"/>
                <w:b/>
                <w:bCs/>
                <w:lang w:val="en-US"/>
              </w:rPr>
            </w:pPr>
            <w:r w:rsidRPr="00017B71">
              <w:rPr>
                <w:rFonts w:ascii="Times New Roman" w:hAnsi="Times New Roman" w:cs="Times New Roman"/>
                <w:b/>
                <w:bCs/>
                <w:lang w:val="en-US"/>
              </w:rPr>
              <w:t xml:space="preserve">1.8. Published event date (corporate action), </w:t>
            </w:r>
            <w:proofErr w:type="gramStart"/>
            <w:r w:rsidRPr="00017B71">
              <w:rPr>
                <w:rFonts w:ascii="Times New Roman" w:hAnsi="Times New Roman" w:cs="Times New Roman"/>
                <w:b/>
                <w:bCs/>
                <w:lang w:val="en-US"/>
              </w:rPr>
              <w:t>on the basis of</w:t>
            </w:r>
            <w:proofErr w:type="gramEnd"/>
            <w:r w:rsidRPr="00017B71">
              <w:rPr>
                <w:rFonts w:ascii="Times New Roman" w:hAnsi="Times New Roman" w:cs="Times New Roman"/>
                <w:b/>
                <w:bCs/>
                <w:lang w:val="en-US"/>
              </w:rPr>
              <w:t xml:space="preserve"> which the notification was compiled (if applicable)</w:t>
            </w:r>
          </w:p>
        </w:tc>
        <w:tc>
          <w:tcPr>
            <w:tcW w:w="5777" w:type="dxa"/>
          </w:tcPr>
          <w:p w14:paraId="6B01820C" w14:textId="48C8326E" w:rsidR="00017B71" w:rsidRPr="00D53BFF" w:rsidRDefault="00017B71" w:rsidP="00017B71">
            <w:pPr>
              <w:pStyle w:val="a3"/>
              <w:rPr>
                <w:rFonts w:ascii="Times New Roman" w:hAnsi="Times New Roman" w:cs="Times New Roman"/>
              </w:rPr>
            </w:pPr>
            <w:r>
              <w:rPr>
                <w:rFonts w:ascii="Times New Roman" w:hAnsi="Times New Roman" w:cs="Times New Roman"/>
                <w:lang w:val="en-US"/>
              </w:rPr>
              <w:t xml:space="preserve">April 29, </w:t>
            </w:r>
            <w:r w:rsidRPr="00D53BFF">
              <w:rPr>
                <w:rFonts w:ascii="Times New Roman" w:hAnsi="Times New Roman" w:cs="Times New Roman"/>
              </w:rPr>
              <w:t>2021</w:t>
            </w:r>
          </w:p>
        </w:tc>
      </w:tr>
      <w:tr w:rsidR="009F3514" w:rsidRPr="00F40944" w14:paraId="348129AD" w14:textId="77777777" w:rsidTr="0005486A">
        <w:tc>
          <w:tcPr>
            <w:tcW w:w="9571" w:type="dxa"/>
            <w:gridSpan w:val="2"/>
          </w:tcPr>
          <w:p w14:paraId="3EB4ADED" w14:textId="094B26CA" w:rsidR="009F3514" w:rsidRPr="00017B71" w:rsidRDefault="009F3514" w:rsidP="00E57436">
            <w:pPr>
              <w:jc w:val="center"/>
              <w:rPr>
                <w:sz w:val="22"/>
                <w:szCs w:val="22"/>
                <w:lang w:val="en-US"/>
              </w:rPr>
            </w:pPr>
            <w:r w:rsidRPr="00D53BFF">
              <w:rPr>
                <w:sz w:val="22"/>
                <w:szCs w:val="22"/>
              </w:rPr>
              <w:t xml:space="preserve">2. </w:t>
            </w:r>
            <w:r w:rsidR="00017B71">
              <w:rPr>
                <w:sz w:val="22"/>
                <w:szCs w:val="22"/>
                <w:lang w:val="en-US"/>
              </w:rPr>
              <w:t>Notification content</w:t>
            </w:r>
          </w:p>
        </w:tc>
      </w:tr>
      <w:tr w:rsidR="009F3514" w:rsidRPr="00F40944" w14:paraId="15BFCEC1" w14:textId="77777777" w:rsidTr="000E6227">
        <w:tc>
          <w:tcPr>
            <w:tcW w:w="9571" w:type="dxa"/>
            <w:gridSpan w:val="2"/>
          </w:tcPr>
          <w:p w14:paraId="0626F9A3" w14:textId="11F44958" w:rsidR="00017B71" w:rsidRPr="00017B71" w:rsidRDefault="009F3514" w:rsidP="00A95B29">
            <w:pPr>
              <w:jc w:val="both"/>
              <w:rPr>
                <w:rFonts w:eastAsiaTheme="minorHAnsi"/>
                <w:sz w:val="22"/>
                <w:szCs w:val="22"/>
                <w:lang w:val="en-US" w:eastAsia="en-US"/>
              </w:rPr>
            </w:pPr>
            <w:r w:rsidRPr="00017B71">
              <w:rPr>
                <w:rFonts w:eastAsiaTheme="minorHAnsi"/>
                <w:sz w:val="22"/>
                <w:szCs w:val="22"/>
                <w:lang w:val="en-US" w:eastAsia="en-US"/>
              </w:rPr>
              <w:t xml:space="preserve">2.1. </w:t>
            </w:r>
            <w:r w:rsidR="00017B71" w:rsidRPr="00017B71">
              <w:rPr>
                <w:rFonts w:eastAsiaTheme="minorHAnsi"/>
                <w:sz w:val="22"/>
                <w:szCs w:val="22"/>
                <w:lang w:val="en-US" w:eastAsia="en-US"/>
              </w:rPr>
              <w:t xml:space="preserve">Type, </w:t>
            </w:r>
            <w:proofErr w:type="gramStart"/>
            <w:r w:rsidR="00017B71" w:rsidRPr="00017B71">
              <w:rPr>
                <w:rFonts w:eastAsiaTheme="minorHAnsi"/>
                <w:sz w:val="22"/>
                <w:szCs w:val="22"/>
                <w:lang w:val="en-US" w:eastAsia="en-US"/>
              </w:rPr>
              <w:t>category</w:t>
            </w:r>
            <w:proofErr w:type="gramEnd"/>
            <w:r w:rsidR="00017B71" w:rsidRPr="00017B71">
              <w:rPr>
                <w:rFonts w:eastAsiaTheme="minorHAnsi"/>
                <w:sz w:val="22"/>
                <w:szCs w:val="22"/>
                <w:lang w:val="en-US" w:eastAsia="en-US"/>
              </w:rPr>
              <w:t xml:space="preserve"> and other identification numbers of registered emission securities of the Issuer to relation of which the date is fixed on which the persons who have the right to exercise of rights on securities are determined: </w:t>
            </w:r>
            <w:r w:rsidR="00017B71" w:rsidRPr="00017B71">
              <w:rPr>
                <w:rFonts w:eastAsiaTheme="minorHAnsi"/>
                <w:b/>
                <w:bCs/>
                <w:i/>
                <w:iCs/>
                <w:sz w:val="22"/>
                <w:szCs w:val="22"/>
                <w:lang w:val="en-US" w:eastAsia="en-US"/>
              </w:rPr>
              <w:t>ordinary shares, state registration number of the issue 1-02-00063-</w:t>
            </w:r>
            <w:r w:rsidR="00017B71" w:rsidRPr="00017B71">
              <w:rPr>
                <w:rFonts w:eastAsiaTheme="minorHAnsi"/>
                <w:b/>
                <w:bCs/>
                <w:i/>
                <w:iCs/>
                <w:sz w:val="22"/>
                <w:szCs w:val="22"/>
                <w:lang w:eastAsia="en-US"/>
              </w:rPr>
              <w:t>А</w:t>
            </w:r>
            <w:r w:rsidR="00017B71" w:rsidRPr="00017B71">
              <w:rPr>
                <w:rFonts w:eastAsiaTheme="minorHAnsi"/>
                <w:b/>
                <w:bCs/>
                <w:i/>
                <w:iCs/>
                <w:sz w:val="22"/>
                <w:szCs w:val="22"/>
                <w:lang w:val="en-US" w:eastAsia="en-US"/>
              </w:rPr>
              <w:t>, International Securities Identification Number (ISIN): RU0009046767</w:t>
            </w:r>
          </w:p>
          <w:p w14:paraId="3528EC3E" w14:textId="6D052B89" w:rsidR="00017B71" w:rsidRPr="00017B71" w:rsidRDefault="009F3514" w:rsidP="00110368">
            <w:pPr>
              <w:adjustRightInd w:val="0"/>
              <w:jc w:val="both"/>
              <w:rPr>
                <w:rFonts w:eastAsiaTheme="minorHAnsi"/>
                <w:b/>
                <w:bCs/>
                <w:i/>
                <w:iCs/>
                <w:sz w:val="22"/>
                <w:szCs w:val="22"/>
                <w:lang w:val="en-US" w:eastAsia="en-US"/>
              </w:rPr>
            </w:pPr>
            <w:r w:rsidRPr="00017B71">
              <w:rPr>
                <w:rFonts w:eastAsiaTheme="minorHAnsi"/>
                <w:sz w:val="22"/>
                <w:szCs w:val="22"/>
                <w:lang w:val="en-US" w:eastAsia="en-US"/>
              </w:rPr>
              <w:t>2.2.</w:t>
            </w:r>
            <w:r w:rsidR="00017B71" w:rsidRPr="00017B71">
              <w:rPr>
                <w:lang w:val="en-US"/>
              </w:rPr>
              <w:t xml:space="preserve"> </w:t>
            </w:r>
            <w:r w:rsidR="00017B71" w:rsidRPr="00017B71">
              <w:rPr>
                <w:rFonts w:eastAsiaTheme="minorHAnsi"/>
                <w:sz w:val="22"/>
                <w:szCs w:val="22"/>
                <w:lang w:val="en-US" w:eastAsia="en-US"/>
              </w:rPr>
              <w:t xml:space="preserve">The rights vested by the securities of the Issuer, to relation of which the date is fixed on which the persons who have the right to exercise of rights on securities are determined: </w:t>
            </w:r>
            <w:r w:rsidR="00017B71" w:rsidRPr="00017B71">
              <w:rPr>
                <w:rFonts w:eastAsiaTheme="minorHAnsi"/>
                <w:b/>
                <w:bCs/>
                <w:i/>
                <w:iCs/>
                <w:sz w:val="22"/>
                <w:szCs w:val="22"/>
                <w:lang w:val="en-US" w:eastAsia="en-US"/>
              </w:rPr>
              <w:t>the right to participate in person or by proxy in the General Meeting of Shareholders of the Company with the right to vote on all matters of its competence</w:t>
            </w:r>
            <w:r w:rsidR="00017B71">
              <w:rPr>
                <w:rFonts w:eastAsiaTheme="minorHAnsi"/>
                <w:b/>
                <w:bCs/>
                <w:i/>
                <w:iCs/>
                <w:sz w:val="22"/>
                <w:szCs w:val="22"/>
                <w:lang w:val="en-US" w:eastAsia="en-US"/>
              </w:rPr>
              <w:t>.</w:t>
            </w:r>
          </w:p>
          <w:p w14:paraId="3434E6DE" w14:textId="77777777" w:rsidR="00017B71" w:rsidRPr="00017B71" w:rsidRDefault="00017B71" w:rsidP="00017B71">
            <w:pPr>
              <w:adjustRightInd w:val="0"/>
              <w:jc w:val="both"/>
              <w:rPr>
                <w:rFonts w:eastAsiaTheme="minorHAnsi"/>
                <w:sz w:val="22"/>
                <w:szCs w:val="22"/>
                <w:lang w:val="en-US" w:eastAsia="en-US"/>
              </w:rPr>
            </w:pPr>
            <w:r w:rsidRPr="00017B71">
              <w:rPr>
                <w:rFonts w:eastAsiaTheme="minorHAnsi"/>
                <w:sz w:val="22"/>
                <w:szCs w:val="22"/>
                <w:lang w:val="en-US" w:eastAsia="en-US"/>
              </w:rPr>
              <w:t>2.3. Date on which the persons who have the right to exercise of rights on securities are determined:</w:t>
            </w:r>
          </w:p>
          <w:p w14:paraId="6C89B254" w14:textId="6AE41D30" w:rsidR="00017B71" w:rsidRPr="00017B71" w:rsidRDefault="00017B71" w:rsidP="00017B71">
            <w:pPr>
              <w:adjustRightInd w:val="0"/>
              <w:jc w:val="both"/>
              <w:rPr>
                <w:rFonts w:eastAsiaTheme="minorHAnsi"/>
                <w:b/>
                <w:bCs/>
                <w:i/>
                <w:iCs/>
                <w:sz w:val="22"/>
                <w:szCs w:val="22"/>
                <w:lang w:val="en-US" w:eastAsia="en-US"/>
              </w:rPr>
            </w:pPr>
            <w:r w:rsidRPr="00017B71">
              <w:rPr>
                <w:rFonts w:eastAsiaTheme="minorHAnsi"/>
                <w:b/>
                <w:bCs/>
                <w:i/>
                <w:iCs/>
                <w:sz w:val="22"/>
                <w:szCs w:val="22"/>
                <w:lang w:val="en-US" w:eastAsia="en-US"/>
              </w:rPr>
              <w:t xml:space="preserve">May </w:t>
            </w:r>
            <w:r>
              <w:rPr>
                <w:rFonts w:eastAsiaTheme="minorHAnsi"/>
                <w:b/>
                <w:bCs/>
                <w:i/>
                <w:iCs/>
                <w:sz w:val="22"/>
                <w:szCs w:val="22"/>
                <w:lang w:val="en-US" w:eastAsia="en-US"/>
              </w:rPr>
              <w:t>9</w:t>
            </w:r>
            <w:r w:rsidRPr="00017B71">
              <w:rPr>
                <w:rFonts w:eastAsiaTheme="minorHAnsi"/>
                <w:b/>
                <w:bCs/>
                <w:i/>
                <w:iCs/>
                <w:sz w:val="22"/>
                <w:szCs w:val="22"/>
                <w:lang w:val="en-US" w:eastAsia="en-US"/>
              </w:rPr>
              <w:t>, 202</w:t>
            </w:r>
            <w:r>
              <w:rPr>
                <w:rFonts w:eastAsiaTheme="minorHAnsi"/>
                <w:b/>
                <w:bCs/>
                <w:i/>
                <w:iCs/>
                <w:sz w:val="22"/>
                <w:szCs w:val="22"/>
                <w:lang w:val="en-US" w:eastAsia="en-US"/>
              </w:rPr>
              <w:t>1</w:t>
            </w:r>
            <w:r w:rsidRPr="00017B71">
              <w:rPr>
                <w:rFonts w:eastAsiaTheme="minorHAnsi"/>
                <w:b/>
                <w:bCs/>
                <w:i/>
                <w:iCs/>
                <w:sz w:val="22"/>
                <w:szCs w:val="22"/>
                <w:lang w:val="en-US" w:eastAsia="en-US"/>
              </w:rPr>
              <w:t>.</w:t>
            </w:r>
          </w:p>
          <w:p w14:paraId="3BB7D053" w14:textId="58E69792" w:rsidR="009F3514" w:rsidRPr="00017B71" w:rsidRDefault="00017B71" w:rsidP="002F3E9D">
            <w:pPr>
              <w:adjustRightInd w:val="0"/>
              <w:jc w:val="both"/>
              <w:rPr>
                <w:rFonts w:eastAsiaTheme="minorHAnsi"/>
                <w:sz w:val="22"/>
                <w:szCs w:val="22"/>
                <w:lang w:val="en-US" w:eastAsia="en-US"/>
              </w:rPr>
            </w:pPr>
            <w:r w:rsidRPr="00017B71">
              <w:rPr>
                <w:rFonts w:eastAsiaTheme="minorHAnsi"/>
                <w:sz w:val="22"/>
                <w:szCs w:val="22"/>
                <w:lang w:val="en-US" w:eastAsia="en-US"/>
              </w:rPr>
              <w:t xml:space="preserve">2.4. Date and number of meeting minutes of the authorized corporate body of the Issuer where the decision concerning the date on which the persons who have the right to exercise of rights on securities of the Issuer are determined (date of making a list of security holders for purposes of exercising the rights on securities of the Issuer), or other decision that is the reason for determination of the specified date: </w:t>
            </w:r>
            <w:r w:rsidRPr="00017B71">
              <w:rPr>
                <w:rFonts w:eastAsiaTheme="minorHAnsi"/>
                <w:b/>
                <w:bCs/>
                <w:i/>
                <w:iCs/>
                <w:sz w:val="22"/>
                <w:szCs w:val="22"/>
                <w:lang w:val="en-US" w:eastAsia="en-US"/>
              </w:rPr>
              <w:t xml:space="preserve">Meeting Minutes of the Board of Directors of PJSC </w:t>
            </w:r>
            <w:r>
              <w:rPr>
                <w:rFonts w:eastAsiaTheme="minorHAnsi"/>
                <w:b/>
                <w:bCs/>
                <w:i/>
                <w:iCs/>
                <w:sz w:val="22"/>
                <w:szCs w:val="22"/>
                <w:lang w:val="en-US" w:eastAsia="en-US"/>
              </w:rPr>
              <w:t>Rosseti Kuban</w:t>
            </w:r>
            <w:r w:rsidRPr="00017B71">
              <w:rPr>
                <w:rFonts w:eastAsiaTheme="minorHAnsi"/>
                <w:b/>
                <w:bCs/>
                <w:i/>
                <w:iCs/>
                <w:sz w:val="22"/>
                <w:szCs w:val="22"/>
                <w:lang w:val="en-US" w:eastAsia="en-US"/>
              </w:rPr>
              <w:t xml:space="preserve"> of April 2</w:t>
            </w:r>
            <w:r>
              <w:rPr>
                <w:rFonts w:eastAsiaTheme="minorHAnsi"/>
                <w:b/>
                <w:bCs/>
                <w:i/>
                <w:iCs/>
                <w:sz w:val="22"/>
                <w:szCs w:val="22"/>
                <w:lang w:val="en-US" w:eastAsia="en-US"/>
              </w:rPr>
              <w:t>9</w:t>
            </w:r>
            <w:r w:rsidRPr="00017B71">
              <w:rPr>
                <w:rFonts w:eastAsiaTheme="minorHAnsi"/>
                <w:b/>
                <w:bCs/>
                <w:i/>
                <w:iCs/>
                <w:sz w:val="22"/>
                <w:szCs w:val="22"/>
                <w:lang w:val="en-US" w:eastAsia="en-US"/>
              </w:rPr>
              <w:t>, 202</w:t>
            </w:r>
            <w:r>
              <w:rPr>
                <w:rFonts w:eastAsiaTheme="minorHAnsi"/>
                <w:b/>
                <w:bCs/>
                <w:i/>
                <w:iCs/>
                <w:sz w:val="22"/>
                <w:szCs w:val="22"/>
                <w:lang w:val="en-US" w:eastAsia="en-US"/>
              </w:rPr>
              <w:t>1</w:t>
            </w:r>
            <w:r w:rsidRPr="00017B71">
              <w:rPr>
                <w:rFonts w:eastAsiaTheme="minorHAnsi"/>
                <w:b/>
                <w:bCs/>
                <w:i/>
                <w:iCs/>
                <w:sz w:val="22"/>
                <w:szCs w:val="22"/>
                <w:lang w:val="en-US" w:eastAsia="en-US"/>
              </w:rPr>
              <w:t xml:space="preserve"> No. 429/2021</w:t>
            </w:r>
            <w:r w:rsidRPr="00017B71">
              <w:rPr>
                <w:rFonts w:eastAsiaTheme="minorHAnsi"/>
                <w:sz w:val="22"/>
                <w:szCs w:val="22"/>
                <w:lang w:val="en-US" w:eastAsia="en-US"/>
              </w:rPr>
              <w:t>.</w:t>
            </w:r>
          </w:p>
        </w:tc>
      </w:tr>
      <w:tr w:rsidR="009F3514" w:rsidRPr="00F40944" w14:paraId="0AA72FB5" w14:textId="77777777" w:rsidTr="00E14EDF">
        <w:tc>
          <w:tcPr>
            <w:tcW w:w="9571" w:type="dxa"/>
            <w:gridSpan w:val="2"/>
          </w:tcPr>
          <w:p w14:paraId="7A6B8A57" w14:textId="40A968F2" w:rsidR="009F3514" w:rsidRPr="00017B71" w:rsidRDefault="009F3514" w:rsidP="00D35F12">
            <w:pPr>
              <w:pStyle w:val="a3"/>
              <w:ind w:left="360"/>
              <w:jc w:val="center"/>
              <w:rPr>
                <w:rFonts w:ascii="Times New Roman" w:hAnsi="Times New Roman" w:cs="Times New Roman"/>
                <w:lang w:val="en-US"/>
              </w:rPr>
            </w:pPr>
            <w:r w:rsidRPr="00D53BFF">
              <w:rPr>
                <w:rFonts w:ascii="Times New Roman" w:hAnsi="Times New Roman" w:cs="Times New Roman"/>
              </w:rPr>
              <w:t xml:space="preserve">3. </w:t>
            </w:r>
            <w:r w:rsidR="00017B71">
              <w:rPr>
                <w:rFonts w:ascii="Times New Roman" w:hAnsi="Times New Roman" w:cs="Times New Roman"/>
                <w:lang w:val="en-US"/>
              </w:rPr>
              <w:t>Signature</w:t>
            </w:r>
          </w:p>
        </w:tc>
      </w:tr>
      <w:tr w:rsidR="009F3514" w:rsidRPr="00017B71" w14:paraId="08E6CA67" w14:textId="77777777" w:rsidTr="00E14EDF">
        <w:tc>
          <w:tcPr>
            <w:tcW w:w="9571" w:type="dxa"/>
            <w:gridSpan w:val="2"/>
          </w:tcPr>
          <w:p w14:paraId="3F2F2796" w14:textId="0AD71914" w:rsidR="00B0302A" w:rsidRPr="00017B71" w:rsidRDefault="009F3514" w:rsidP="00DD1F32">
            <w:pPr>
              <w:rPr>
                <w:rFonts w:eastAsia="Calibri"/>
                <w:sz w:val="22"/>
                <w:szCs w:val="22"/>
                <w:lang w:val="en-US"/>
              </w:rPr>
            </w:pPr>
            <w:r w:rsidRPr="00017B71">
              <w:rPr>
                <w:sz w:val="22"/>
                <w:szCs w:val="22"/>
                <w:lang w:val="en-US"/>
              </w:rPr>
              <w:t xml:space="preserve">3.1. </w:t>
            </w:r>
            <w:bookmarkStart w:id="0" w:name="_Hlk75275943"/>
            <w:r w:rsidR="00017B71" w:rsidRPr="00017B71">
              <w:rPr>
                <w:rFonts w:eastAsia="Calibri"/>
                <w:lang w:val="en-US"/>
              </w:rPr>
              <w:t>Head of Corporate Support Department</w:t>
            </w:r>
            <w:r w:rsidR="00B0302A" w:rsidRPr="00017B71">
              <w:rPr>
                <w:rFonts w:eastAsia="Calibri"/>
                <w:sz w:val="22"/>
                <w:szCs w:val="22"/>
                <w:lang w:val="en-US"/>
              </w:rPr>
              <w:t xml:space="preserve">____________________ </w:t>
            </w:r>
            <w:r w:rsidR="00DD1F32" w:rsidRPr="00D53BFF">
              <w:rPr>
                <w:rFonts w:eastAsia="Calibri"/>
                <w:sz w:val="22"/>
                <w:szCs w:val="22"/>
              </w:rPr>
              <w:t>Е</w:t>
            </w:r>
            <w:r w:rsidR="00DD1F32" w:rsidRPr="00017B71">
              <w:rPr>
                <w:rFonts w:eastAsia="Calibri"/>
                <w:sz w:val="22"/>
                <w:szCs w:val="22"/>
                <w:lang w:val="en-US"/>
              </w:rPr>
              <w:t>.</w:t>
            </w:r>
            <w:r w:rsidR="00DD1F32" w:rsidRPr="00D53BFF">
              <w:rPr>
                <w:rFonts w:eastAsia="Calibri"/>
                <w:sz w:val="22"/>
                <w:szCs w:val="22"/>
              </w:rPr>
              <w:t>Е</w:t>
            </w:r>
            <w:r w:rsidR="00DD1F32" w:rsidRPr="00017B71">
              <w:rPr>
                <w:rFonts w:eastAsia="Calibri"/>
                <w:sz w:val="22"/>
                <w:szCs w:val="22"/>
                <w:lang w:val="en-US"/>
              </w:rPr>
              <w:t xml:space="preserve">. </w:t>
            </w:r>
            <w:proofErr w:type="spellStart"/>
            <w:r w:rsidR="00017B71">
              <w:rPr>
                <w:rFonts w:eastAsia="Calibri"/>
                <w:sz w:val="22"/>
                <w:szCs w:val="22"/>
                <w:lang w:val="en-US"/>
              </w:rPr>
              <w:t>Didenko</w:t>
            </w:r>
            <w:proofErr w:type="spellEnd"/>
          </w:p>
          <w:p w14:paraId="0F0E8315" w14:textId="54F943C2" w:rsidR="00DD1F32" w:rsidRPr="00017B71" w:rsidRDefault="00B0302A" w:rsidP="00DD1F32">
            <w:pPr>
              <w:pStyle w:val="a3"/>
              <w:rPr>
                <w:rFonts w:ascii="Times New Roman" w:eastAsia="Calibri" w:hAnsi="Times New Roman" w:cs="Times New Roman"/>
                <w:lang w:val="en-US"/>
              </w:rPr>
            </w:pPr>
            <w:r w:rsidRPr="00017B71">
              <w:rPr>
                <w:rFonts w:ascii="Times New Roman" w:eastAsia="Calibri" w:hAnsi="Times New Roman" w:cs="Times New Roman"/>
                <w:lang w:val="en-US"/>
              </w:rPr>
              <w:t>(</w:t>
            </w:r>
            <w:r w:rsidR="00017B71">
              <w:rPr>
                <w:rFonts w:ascii="Times New Roman" w:eastAsia="Calibri" w:hAnsi="Times New Roman" w:cs="Times New Roman"/>
                <w:lang w:val="en-US"/>
              </w:rPr>
              <w:t>per procuration No.</w:t>
            </w:r>
            <w:r w:rsidR="00DD1F32" w:rsidRPr="00017B71">
              <w:rPr>
                <w:rFonts w:ascii="Times New Roman" w:eastAsia="Calibri" w:hAnsi="Times New Roman" w:cs="Times New Roman"/>
                <w:lang w:val="en-US"/>
              </w:rPr>
              <w:t>23/256-</w:t>
            </w:r>
            <w:r w:rsidR="00DD1F32" w:rsidRPr="00D53BFF">
              <w:rPr>
                <w:rFonts w:ascii="Times New Roman" w:eastAsia="Calibri" w:hAnsi="Times New Roman" w:cs="Times New Roman"/>
              </w:rPr>
              <w:t>н</w:t>
            </w:r>
            <w:r w:rsidR="00DD1F32" w:rsidRPr="00017B71">
              <w:rPr>
                <w:rFonts w:ascii="Times New Roman" w:eastAsia="Calibri" w:hAnsi="Times New Roman" w:cs="Times New Roman"/>
                <w:lang w:val="en-US"/>
              </w:rPr>
              <w:t xml:space="preserve">/23-2021-2-253 </w:t>
            </w:r>
            <w:r w:rsidR="00017B71">
              <w:rPr>
                <w:rFonts w:ascii="Times New Roman" w:eastAsia="Calibri" w:hAnsi="Times New Roman" w:cs="Times New Roman"/>
                <w:lang w:val="en-US"/>
              </w:rPr>
              <w:t xml:space="preserve">             </w:t>
            </w:r>
            <w:proofErr w:type="gramStart"/>
            <w:r w:rsidR="00017B71">
              <w:rPr>
                <w:rFonts w:ascii="Times New Roman" w:eastAsia="Calibri" w:hAnsi="Times New Roman" w:cs="Times New Roman"/>
                <w:lang w:val="en-US"/>
              </w:rPr>
              <w:t xml:space="preserve">   (</w:t>
            </w:r>
            <w:proofErr w:type="gramEnd"/>
            <w:r w:rsidR="00017B71">
              <w:rPr>
                <w:rFonts w:ascii="Times New Roman" w:eastAsia="Calibri" w:hAnsi="Times New Roman" w:cs="Times New Roman"/>
                <w:lang w:val="en-US"/>
              </w:rPr>
              <w:t>signature)</w:t>
            </w:r>
          </w:p>
          <w:p w14:paraId="3AC76B16" w14:textId="1C268D4E" w:rsidR="009F3514" w:rsidRPr="00017B71" w:rsidRDefault="00017B71" w:rsidP="00DD1F32">
            <w:pPr>
              <w:pStyle w:val="a3"/>
              <w:rPr>
                <w:rFonts w:ascii="Times New Roman" w:hAnsi="Times New Roman" w:cs="Times New Roman"/>
                <w:lang w:val="en-US"/>
              </w:rPr>
            </w:pPr>
            <w:r>
              <w:rPr>
                <w:rFonts w:ascii="Times New Roman" w:eastAsia="Calibri" w:hAnsi="Times New Roman" w:cs="Times New Roman"/>
                <w:lang w:val="en-US"/>
              </w:rPr>
              <w:t xml:space="preserve">of February 16, </w:t>
            </w:r>
            <w:r w:rsidR="00DD1F32" w:rsidRPr="00017B71">
              <w:rPr>
                <w:rFonts w:ascii="Times New Roman" w:eastAsia="Calibri" w:hAnsi="Times New Roman" w:cs="Times New Roman"/>
                <w:lang w:val="en-US"/>
              </w:rPr>
              <w:t xml:space="preserve">2021)                                                       </w:t>
            </w:r>
            <w:r w:rsidR="00B0302A" w:rsidRPr="00017B71">
              <w:rPr>
                <w:rFonts w:ascii="Times New Roman" w:eastAsia="Calibri" w:hAnsi="Times New Roman" w:cs="Times New Roman"/>
                <w:lang w:val="en-US"/>
              </w:rPr>
              <w:t xml:space="preserve">          </w:t>
            </w:r>
            <w:bookmarkEnd w:id="0"/>
            <w:r w:rsidR="00B0302A" w:rsidRPr="00017B71">
              <w:rPr>
                <w:rFonts w:ascii="Times New Roman" w:eastAsia="Calibri" w:hAnsi="Times New Roman" w:cs="Times New Roman"/>
                <w:lang w:val="en-US"/>
              </w:rPr>
              <w:t xml:space="preserve">                                                                                  </w:t>
            </w:r>
          </w:p>
          <w:p w14:paraId="0F63F626" w14:textId="6B38F5FF" w:rsidR="009F3514" w:rsidRPr="00017B71" w:rsidRDefault="009F3514" w:rsidP="002F3E9D">
            <w:pPr>
              <w:pStyle w:val="a3"/>
              <w:rPr>
                <w:rFonts w:ascii="Times New Roman" w:hAnsi="Times New Roman" w:cs="Times New Roman"/>
                <w:lang w:val="en-US"/>
              </w:rPr>
            </w:pPr>
            <w:r w:rsidRPr="00017B71">
              <w:rPr>
                <w:rFonts w:ascii="Times New Roman" w:hAnsi="Times New Roman" w:cs="Times New Roman"/>
                <w:lang w:val="en-US"/>
              </w:rPr>
              <w:t xml:space="preserve">3.2. </w:t>
            </w:r>
            <w:proofErr w:type="gramStart"/>
            <w:r w:rsidR="00017B71">
              <w:rPr>
                <w:rFonts w:ascii="Times New Roman" w:hAnsi="Times New Roman" w:cs="Times New Roman"/>
                <w:lang w:val="en-US"/>
              </w:rPr>
              <w:t>Date</w:t>
            </w:r>
            <w:r w:rsidRPr="00017B71">
              <w:rPr>
                <w:rFonts w:ascii="Times New Roman" w:hAnsi="Times New Roman" w:cs="Times New Roman"/>
                <w:lang w:val="en-US"/>
              </w:rPr>
              <w:t xml:space="preserve">  «</w:t>
            </w:r>
            <w:proofErr w:type="gramEnd"/>
            <w:r w:rsidR="00B0302A" w:rsidRPr="00017B71">
              <w:rPr>
                <w:rFonts w:ascii="Times New Roman" w:hAnsi="Times New Roman" w:cs="Times New Roman"/>
                <w:lang w:val="en-US"/>
              </w:rPr>
              <w:t>2</w:t>
            </w:r>
            <w:r w:rsidR="002F3E9D" w:rsidRPr="00017B71">
              <w:rPr>
                <w:rFonts w:ascii="Times New Roman" w:hAnsi="Times New Roman" w:cs="Times New Roman"/>
                <w:lang w:val="en-US"/>
              </w:rPr>
              <w:t>9</w:t>
            </w:r>
            <w:r w:rsidRPr="00017B71">
              <w:rPr>
                <w:rFonts w:ascii="Times New Roman" w:hAnsi="Times New Roman" w:cs="Times New Roman"/>
                <w:lang w:val="en-US"/>
              </w:rPr>
              <w:t>»</w:t>
            </w:r>
            <w:r w:rsidR="00B0302A" w:rsidRPr="00017B71">
              <w:rPr>
                <w:rFonts w:ascii="Times New Roman" w:hAnsi="Times New Roman" w:cs="Times New Roman"/>
                <w:lang w:val="en-US"/>
              </w:rPr>
              <w:t xml:space="preserve"> </w:t>
            </w:r>
            <w:r w:rsidR="00017B71">
              <w:rPr>
                <w:rFonts w:ascii="Times New Roman" w:hAnsi="Times New Roman" w:cs="Times New Roman"/>
                <w:lang w:val="en-US"/>
              </w:rPr>
              <w:t xml:space="preserve">April </w:t>
            </w:r>
            <w:r w:rsidRPr="00017B71">
              <w:rPr>
                <w:rFonts w:ascii="Times New Roman" w:hAnsi="Times New Roman" w:cs="Times New Roman"/>
                <w:lang w:val="en-US"/>
              </w:rPr>
              <w:t>20</w:t>
            </w:r>
            <w:r w:rsidR="006D5AE4" w:rsidRPr="00017B71">
              <w:rPr>
                <w:rFonts w:ascii="Times New Roman" w:hAnsi="Times New Roman" w:cs="Times New Roman"/>
                <w:lang w:val="en-US"/>
              </w:rPr>
              <w:t>2</w:t>
            </w:r>
            <w:r w:rsidR="00B0302A" w:rsidRPr="00017B71">
              <w:rPr>
                <w:rFonts w:ascii="Times New Roman" w:hAnsi="Times New Roman" w:cs="Times New Roman"/>
                <w:lang w:val="en-US"/>
              </w:rPr>
              <w:t>1</w:t>
            </w:r>
            <w:r w:rsidRPr="00017B71">
              <w:rPr>
                <w:rFonts w:ascii="Times New Roman" w:hAnsi="Times New Roman" w:cs="Times New Roman"/>
                <w:lang w:val="en-US"/>
              </w:rPr>
              <w:t xml:space="preserve"> </w:t>
            </w:r>
            <w:r w:rsidR="00017B71">
              <w:rPr>
                <w:rFonts w:ascii="Times New Roman" w:hAnsi="Times New Roman" w:cs="Times New Roman"/>
                <w:lang w:val="en-US"/>
              </w:rPr>
              <w:t xml:space="preserve">   </w:t>
            </w:r>
            <w:r w:rsidRPr="00017B71">
              <w:rPr>
                <w:rFonts w:ascii="Times New Roman" w:hAnsi="Times New Roman" w:cs="Times New Roman"/>
                <w:lang w:val="en-US"/>
              </w:rPr>
              <w:t xml:space="preserve">                         </w:t>
            </w:r>
            <w:r w:rsidR="00017B71">
              <w:rPr>
                <w:rFonts w:ascii="Times New Roman" w:hAnsi="Times New Roman" w:cs="Times New Roman"/>
                <w:lang w:val="en-US"/>
              </w:rPr>
              <w:t>stamp here</w:t>
            </w:r>
          </w:p>
        </w:tc>
      </w:tr>
    </w:tbl>
    <w:p w14:paraId="18EF868B" w14:textId="77777777" w:rsidR="0045226D" w:rsidRPr="00017B71" w:rsidRDefault="0045226D" w:rsidP="00DD1F32">
      <w:pPr>
        <w:rPr>
          <w:sz w:val="22"/>
          <w:szCs w:val="22"/>
          <w:lang w:val="en-US"/>
        </w:rPr>
      </w:pPr>
    </w:p>
    <w:sectPr w:rsidR="0045226D" w:rsidRPr="00017B71" w:rsidSect="00822BB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E23"/>
    <w:multiLevelType w:val="hybridMultilevel"/>
    <w:tmpl w:val="4658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E17B3"/>
    <w:multiLevelType w:val="hybridMultilevel"/>
    <w:tmpl w:val="333E32F2"/>
    <w:lvl w:ilvl="0" w:tplc="EAB4B332">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41113"/>
    <w:multiLevelType w:val="hybridMultilevel"/>
    <w:tmpl w:val="332EE87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814246F0">
      <w:start w:val="1"/>
      <w:numFmt w:val="decimal"/>
      <w:lvlText w:val="%4."/>
      <w:lvlJc w:val="left"/>
      <w:pPr>
        <w:tabs>
          <w:tab w:val="num" w:pos="3087"/>
        </w:tabs>
        <w:ind w:left="3087" w:hanging="360"/>
      </w:pPr>
      <w:rPr>
        <w:b/>
      </w:rPr>
    </w:lvl>
    <w:lvl w:ilvl="4" w:tplc="E0FE0F94">
      <w:start w:val="12"/>
      <w:numFmt w:val="decimal"/>
      <w:lvlText w:val="%5."/>
      <w:lvlJc w:val="left"/>
      <w:pPr>
        <w:tabs>
          <w:tab w:val="num" w:pos="3807"/>
        </w:tabs>
        <w:ind w:left="3807" w:hanging="360"/>
      </w:pPr>
      <w:rPr>
        <w:rFonts w:hint="default"/>
      </w:rPr>
    </w:lvl>
    <w:lvl w:ilvl="5" w:tplc="FFFFFFFF" w:tentative="1">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0CF67CAC"/>
    <w:multiLevelType w:val="hybridMultilevel"/>
    <w:tmpl w:val="4BA44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15663"/>
    <w:multiLevelType w:val="multilevel"/>
    <w:tmpl w:val="FAAE6E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2311EEB"/>
    <w:multiLevelType w:val="hybridMultilevel"/>
    <w:tmpl w:val="AD1C9F66"/>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DF223F"/>
    <w:multiLevelType w:val="hybridMultilevel"/>
    <w:tmpl w:val="F156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C6A4A"/>
    <w:multiLevelType w:val="hybridMultilevel"/>
    <w:tmpl w:val="7F2E9A44"/>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7096454"/>
    <w:multiLevelType w:val="hybridMultilevel"/>
    <w:tmpl w:val="C09CDBDE"/>
    <w:lvl w:ilvl="0" w:tplc="08EEE9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5D12A5"/>
    <w:multiLevelType w:val="hybridMultilevel"/>
    <w:tmpl w:val="4C74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680A7D"/>
    <w:multiLevelType w:val="hybridMultilevel"/>
    <w:tmpl w:val="D3BC50B0"/>
    <w:lvl w:ilvl="0" w:tplc="DD70D0A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3248A7"/>
    <w:multiLevelType w:val="hybridMultilevel"/>
    <w:tmpl w:val="ED1A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1757E"/>
    <w:multiLevelType w:val="hybridMultilevel"/>
    <w:tmpl w:val="CF14C856"/>
    <w:lvl w:ilvl="0" w:tplc="D032AC9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4" w15:restartNumberingAfterBreak="0">
    <w:nsid w:val="201753EB"/>
    <w:multiLevelType w:val="multilevel"/>
    <w:tmpl w:val="3F1A16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1A02FE"/>
    <w:multiLevelType w:val="hybridMultilevel"/>
    <w:tmpl w:val="F7C8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73020"/>
    <w:multiLevelType w:val="hybridMultilevel"/>
    <w:tmpl w:val="6D4A2BC8"/>
    <w:lvl w:ilvl="0" w:tplc="E39A2706">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EC1F63"/>
    <w:multiLevelType w:val="hybridMultilevel"/>
    <w:tmpl w:val="05200484"/>
    <w:lvl w:ilvl="0" w:tplc="34AE6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55958"/>
    <w:multiLevelType w:val="hybridMultilevel"/>
    <w:tmpl w:val="B73E43C2"/>
    <w:lvl w:ilvl="0" w:tplc="8BF47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95A2973"/>
    <w:multiLevelType w:val="hybridMultilevel"/>
    <w:tmpl w:val="C2BEA7D8"/>
    <w:lvl w:ilvl="0" w:tplc="E84C6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C775B4"/>
    <w:multiLevelType w:val="hybridMultilevel"/>
    <w:tmpl w:val="70F4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CD4F2F"/>
    <w:multiLevelType w:val="hybridMultilevel"/>
    <w:tmpl w:val="4F74A8F8"/>
    <w:lvl w:ilvl="0" w:tplc="F13A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7A863C6"/>
    <w:multiLevelType w:val="hybridMultilevel"/>
    <w:tmpl w:val="567438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47C6C"/>
    <w:multiLevelType w:val="hybridMultilevel"/>
    <w:tmpl w:val="F5B006AC"/>
    <w:lvl w:ilvl="0" w:tplc="3C98263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805839"/>
    <w:multiLevelType w:val="hybridMultilevel"/>
    <w:tmpl w:val="6A7C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32139"/>
    <w:multiLevelType w:val="multilevel"/>
    <w:tmpl w:val="CA9E9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7F6658"/>
    <w:multiLevelType w:val="hybridMultilevel"/>
    <w:tmpl w:val="B9489678"/>
    <w:lvl w:ilvl="0" w:tplc="55762938">
      <w:start w:val="3"/>
      <w:numFmt w:val="bullet"/>
      <w:lvlText w:val="-"/>
      <w:lvlJc w:val="left"/>
      <w:pPr>
        <w:tabs>
          <w:tab w:val="num" w:pos="2059"/>
        </w:tabs>
        <w:ind w:left="2059" w:hanging="13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49895F8A"/>
    <w:multiLevelType w:val="hybridMultilevel"/>
    <w:tmpl w:val="7A3CE806"/>
    <w:lvl w:ilvl="0" w:tplc="65E455EA">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266081"/>
    <w:multiLevelType w:val="multilevel"/>
    <w:tmpl w:val="3280E7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87125C3"/>
    <w:multiLevelType w:val="hybridMultilevel"/>
    <w:tmpl w:val="B6FA466C"/>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4" w15:restartNumberingAfterBreak="0">
    <w:nsid w:val="5A926299"/>
    <w:multiLevelType w:val="hybridMultilevel"/>
    <w:tmpl w:val="A6ACAB28"/>
    <w:lvl w:ilvl="0" w:tplc="D6589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A77AE0"/>
    <w:multiLevelType w:val="hybridMultilevel"/>
    <w:tmpl w:val="84B0C9AE"/>
    <w:lvl w:ilvl="0" w:tplc="99641A1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3875B6"/>
    <w:multiLevelType w:val="hybridMultilevel"/>
    <w:tmpl w:val="27CA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00E41"/>
    <w:multiLevelType w:val="hybridMultilevel"/>
    <w:tmpl w:val="3698DA5A"/>
    <w:lvl w:ilvl="0" w:tplc="E5663F60">
      <w:start w:val="1"/>
      <w:numFmt w:val="decimal"/>
      <w:lvlText w:val="%1."/>
      <w:lvlJc w:val="left"/>
      <w:pPr>
        <w:ind w:left="502" w:hanging="360"/>
      </w:pPr>
      <w:rPr>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AA321BB"/>
    <w:multiLevelType w:val="hybridMultilevel"/>
    <w:tmpl w:val="81529EF6"/>
    <w:lvl w:ilvl="0" w:tplc="7F764D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7E0C6268"/>
    <w:multiLevelType w:val="multilevel"/>
    <w:tmpl w:val="D0DE70A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7F6B7BB7"/>
    <w:multiLevelType w:val="hybridMultilevel"/>
    <w:tmpl w:val="E348F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7"/>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5"/>
  </w:num>
  <w:num w:numId="9">
    <w:abstractNumId w:val="2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num>
  <w:num w:numId="13">
    <w:abstractNumId w:val="42"/>
  </w:num>
  <w:num w:numId="14">
    <w:abstractNumId w:val="28"/>
  </w:num>
  <w:num w:numId="15">
    <w:abstractNumId w:val="34"/>
  </w:num>
  <w:num w:numId="16">
    <w:abstractNumId w:val="3"/>
  </w:num>
  <w:num w:numId="17">
    <w:abstractNumId w:val="19"/>
  </w:num>
  <w:num w:numId="18">
    <w:abstractNumId w:val="29"/>
  </w:num>
  <w:num w:numId="19">
    <w:abstractNumId w:val="27"/>
  </w:num>
  <w:num w:numId="20">
    <w:abstractNumId w:val="25"/>
  </w:num>
  <w:num w:numId="21">
    <w:abstractNumId w:val="12"/>
  </w:num>
  <w:num w:numId="22">
    <w:abstractNumId w:val="21"/>
  </w:num>
  <w:num w:numId="23">
    <w:abstractNumId w:val="22"/>
  </w:num>
  <w:num w:numId="24">
    <w:abstractNumId w:val="8"/>
  </w:num>
  <w:num w:numId="25">
    <w:abstractNumId w:val="17"/>
  </w:num>
  <w:num w:numId="26">
    <w:abstractNumId w:val="38"/>
  </w:num>
  <w:num w:numId="27">
    <w:abstractNumId w:val="10"/>
  </w:num>
  <w:num w:numId="28">
    <w:abstractNumId w:val="6"/>
  </w:num>
  <w:num w:numId="29">
    <w:abstractNumId w:val="9"/>
  </w:num>
  <w:num w:numId="30">
    <w:abstractNumId w:val="1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042F9"/>
    <w:rsid w:val="00017B71"/>
    <w:rsid w:val="00020C5E"/>
    <w:rsid w:val="00026253"/>
    <w:rsid w:val="0003005F"/>
    <w:rsid w:val="00036FF9"/>
    <w:rsid w:val="00046601"/>
    <w:rsid w:val="000655FF"/>
    <w:rsid w:val="000812B4"/>
    <w:rsid w:val="00084028"/>
    <w:rsid w:val="00084770"/>
    <w:rsid w:val="00086CC9"/>
    <w:rsid w:val="00087DA5"/>
    <w:rsid w:val="000B22DB"/>
    <w:rsid w:val="000D1922"/>
    <w:rsid w:val="000D5047"/>
    <w:rsid w:val="000E5E7E"/>
    <w:rsid w:val="00110368"/>
    <w:rsid w:val="0011275D"/>
    <w:rsid w:val="00120E6B"/>
    <w:rsid w:val="00142353"/>
    <w:rsid w:val="00143D25"/>
    <w:rsid w:val="00155944"/>
    <w:rsid w:val="00157E0B"/>
    <w:rsid w:val="00166C79"/>
    <w:rsid w:val="00175E61"/>
    <w:rsid w:val="001762AE"/>
    <w:rsid w:val="0018639F"/>
    <w:rsid w:val="0018648B"/>
    <w:rsid w:val="001A2A0D"/>
    <w:rsid w:val="001A4FE8"/>
    <w:rsid w:val="001A5D8D"/>
    <w:rsid w:val="001B1766"/>
    <w:rsid w:val="001B5463"/>
    <w:rsid w:val="001D2761"/>
    <w:rsid w:val="001E3A5C"/>
    <w:rsid w:val="002009E2"/>
    <w:rsid w:val="0020448C"/>
    <w:rsid w:val="00232B2C"/>
    <w:rsid w:val="00255CCE"/>
    <w:rsid w:val="00265D89"/>
    <w:rsid w:val="00271F6A"/>
    <w:rsid w:val="00295F91"/>
    <w:rsid w:val="002A05D7"/>
    <w:rsid w:val="002A0DAF"/>
    <w:rsid w:val="002B7F7D"/>
    <w:rsid w:val="002C134B"/>
    <w:rsid w:val="002D3460"/>
    <w:rsid w:val="002D6A9E"/>
    <w:rsid w:val="002F2897"/>
    <w:rsid w:val="002F3E9D"/>
    <w:rsid w:val="00316754"/>
    <w:rsid w:val="00322B7B"/>
    <w:rsid w:val="00356FF6"/>
    <w:rsid w:val="00364A53"/>
    <w:rsid w:val="003914CE"/>
    <w:rsid w:val="00393C50"/>
    <w:rsid w:val="003A0253"/>
    <w:rsid w:val="003A3479"/>
    <w:rsid w:val="003B18CF"/>
    <w:rsid w:val="003D7747"/>
    <w:rsid w:val="003F4A7E"/>
    <w:rsid w:val="00401D3B"/>
    <w:rsid w:val="00402154"/>
    <w:rsid w:val="00413B92"/>
    <w:rsid w:val="00415885"/>
    <w:rsid w:val="004261B7"/>
    <w:rsid w:val="00426D2A"/>
    <w:rsid w:val="00433EC9"/>
    <w:rsid w:val="004459A3"/>
    <w:rsid w:val="004501D1"/>
    <w:rsid w:val="0045226D"/>
    <w:rsid w:val="00471BBD"/>
    <w:rsid w:val="00475583"/>
    <w:rsid w:val="004A68E9"/>
    <w:rsid w:val="004C0FB3"/>
    <w:rsid w:val="004D1454"/>
    <w:rsid w:val="004D532C"/>
    <w:rsid w:val="004D7229"/>
    <w:rsid w:val="004E2CFD"/>
    <w:rsid w:val="004F5D30"/>
    <w:rsid w:val="00502C64"/>
    <w:rsid w:val="00516D7E"/>
    <w:rsid w:val="00524BEA"/>
    <w:rsid w:val="005342A7"/>
    <w:rsid w:val="00552531"/>
    <w:rsid w:val="005546E2"/>
    <w:rsid w:val="00570456"/>
    <w:rsid w:val="00573881"/>
    <w:rsid w:val="00580C67"/>
    <w:rsid w:val="00591B51"/>
    <w:rsid w:val="005A0F7C"/>
    <w:rsid w:val="005B64C7"/>
    <w:rsid w:val="005C32C6"/>
    <w:rsid w:val="005C4FDA"/>
    <w:rsid w:val="005C5847"/>
    <w:rsid w:val="005D36EB"/>
    <w:rsid w:val="005E4452"/>
    <w:rsid w:val="005F1291"/>
    <w:rsid w:val="006016DF"/>
    <w:rsid w:val="00603716"/>
    <w:rsid w:val="00604A93"/>
    <w:rsid w:val="0060737B"/>
    <w:rsid w:val="00611647"/>
    <w:rsid w:val="00620581"/>
    <w:rsid w:val="00621072"/>
    <w:rsid w:val="00630E01"/>
    <w:rsid w:val="006369DF"/>
    <w:rsid w:val="00650F04"/>
    <w:rsid w:val="00655BF7"/>
    <w:rsid w:val="0068193A"/>
    <w:rsid w:val="00681C2E"/>
    <w:rsid w:val="00683906"/>
    <w:rsid w:val="00684705"/>
    <w:rsid w:val="0069112C"/>
    <w:rsid w:val="006C3F57"/>
    <w:rsid w:val="006C558A"/>
    <w:rsid w:val="006D5AE4"/>
    <w:rsid w:val="00703358"/>
    <w:rsid w:val="00714127"/>
    <w:rsid w:val="0074481B"/>
    <w:rsid w:val="007616DB"/>
    <w:rsid w:val="00761EF7"/>
    <w:rsid w:val="00773A71"/>
    <w:rsid w:val="007779E8"/>
    <w:rsid w:val="00791BEF"/>
    <w:rsid w:val="007A0B7B"/>
    <w:rsid w:val="008066B5"/>
    <w:rsid w:val="008132C1"/>
    <w:rsid w:val="00822BB9"/>
    <w:rsid w:val="008276FB"/>
    <w:rsid w:val="008405C6"/>
    <w:rsid w:val="00845652"/>
    <w:rsid w:val="008569D0"/>
    <w:rsid w:val="00872891"/>
    <w:rsid w:val="00875619"/>
    <w:rsid w:val="00882836"/>
    <w:rsid w:val="00884779"/>
    <w:rsid w:val="0089271F"/>
    <w:rsid w:val="0089796E"/>
    <w:rsid w:val="008A5F53"/>
    <w:rsid w:val="008A6463"/>
    <w:rsid w:val="008C08E0"/>
    <w:rsid w:val="008C499E"/>
    <w:rsid w:val="008C7F2D"/>
    <w:rsid w:val="008D6244"/>
    <w:rsid w:val="008D6DBB"/>
    <w:rsid w:val="008E1475"/>
    <w:rsid w:val="008F3E48"/>
    <w:rsid w:val="008F4D23"/>
    <w:rsid w:val="008F5010"/>
    <w:rsid w:val="008F71E7"/>
    <w:rsid w:val="00904BB7"/>
    <w:rsid w:val="009056AD"/>
    <w:rsid w:val="00910208"/>
    <w:rsid w:val="009335F3"/>
    <w:rsid w:val="009373E6"/>
    <w:rsid w:val="0093799B"/>
    <w:rsid w:val="009523CD"/>
    <w:rsid w:val="009531E3"/>
    <w:rsid w:val="00960705"/>
    <w:rsid w:val="00972320"/>
    <w:rsid w:val="00981E0D"/>
    <w:rsid w:val="0098348B"/>
    <w:rsid w:val="00985C35"/>
    <w:rsid w:val="00990A73"/>
    <w:rsid w:val="009B3565"/>
    <w:rsid w:val="009B4A76"/>
    <w:rsid w:val="009C72DB"/>
    <w:rsid w:val="009E59C7"/>
    <w:rsid w:val="009F0196"/>
    <w:rsid w:val="009F027C"/>
    <w:rsid w:val="009F2876"/>
    <w:rsid w:val="009F3514"/>
    <w:rsid w:val="009F6366"/>
    <w:rsid w:val="00A03CE2"/>
    <w:rsid w:val="00A32B37"/>
    <w:rsid w:val="00A32CCA"/>
    <w:rsid w:val="00A50E41"/>
    <w:rsid w:val="00A535F3"/>
    <w:rsid w:val="00A5618B"/>
    <w:rsid w:val="00A92232"/>
    <w:rsid w:val="00A95B29"/>
    <w:rsid w:val="00AA0667"/>
    <w:rsid w:val="00AA1431"/>
    <w:rsid w:val="00AA172E"/>
    <w:rsid w:val="00B01511"/>
    <w:rsid w:val="00B0302A"/>
    <w:rsid w:val="00B05071"/>
    <w:rsid w:val="00B17FBB"/>
    <w:rsid w:val="00B22153"/>
    <w:rsid w:val="00B442D4"/>
    <w:rsid w:val="00B517E3"/>
    <w:rsid w:val="00B7221F"/>
    <w:rsid w:val="00B905ED"/>
    <w:rsid w:val="00B9452B"/>
    <w:rsid w:val="00B96624"/>
    <w:rsid w:val="00BA33B5"/>
    <w:rsid w:val="00BA4527"/>
    <w:rsid w:val="00BA59C8"/>
    <w:rsid w:val="00BA7D00"/>
    <w:rsid w:val="00BF6394"/>
    <w:rsid w:val="00BF7BAE"/>
    <w:rsid w:val="00BF7ED2"/>
    <w:rsid w:val="00C07688"/>
    <w:rsid w:val="00C14210"/>
    <w:rsid w:val="00C21D8D"/>
    <w:rsid w:val="00C22474"/>
    <w:rsid w:val="00C3437B"/>
    <w:rsid w:val="00C34EC8"/>
    <w:rsid w:val="00C433CB"/>
    <w:rsid w:val="00C47824"/>
    <w:rsid w:val="00C50A27"/>
    <w:rsid w:val="00C64ADF"/>
    <w:rsid w:val="00C67A2E"/>
    <w:rsid w:val="00C76CE5"/>
    <w:rsid w:val="00C8153C"/>
    <w:rsid w:val="00C92DB0"/>
    <w:rsid w:val="00CB1E20"/>
    <w:rsid w:val="00CC6046"/>
    <w:rsid w:val="00CD46FD"/>
    <w:rsid w:val="00CE6E6C"/>
    <w:rsid w:val="00D05386"/>
    <w:rsid w:val="00D073EF"/>
    <w:rsid w:val="00D2430D"/>
    <w:rsid w:val="00D26470"/>
    <w:rsid w:val="00D53BFF"/>
    <w:rsid w:val="00D5605D"/>
    <w:rsid w:val="00D90760"/>
    <w:rsid w:val="00D91C77"/>
    <w:rsid w:val="00D97542"/>
    <w:rsid w:val="00DB7480"/>
    <w:rsid w:val="00DD1F32"/>
    <w:rsid w:val="00DF0432"/>
    <w:rsid w:val="00E111C0"/>
    <w:rsid w:val="00E14EDF"/>
    <w:rsid w:val="00E36F2C"/>
    <w:rsid w:val="00E57436"/>
    <w:rsid w:val="00E64EE6"/>
    <w:rsid w:val="00E826B5"/>
    <w:rsid w:val="00E84116"/>
    <w:rsid w:val="00E9541C"/>
    <w:rsid w:val="00E9711F"/>
    <w:rsid w:val="00EB4856"/>
    <w:rsid w:val="00EC1DE4"/>
    <w:rsid w:val="00EC4854"/>
    <w:rsid w:val="00EE3FD2"/>
    <w:rsid w:val="00EF0A1F"/>
    <w:rsid w:val="00F03071"/>
    <w:rsid w:val="00F05707"/>
    <w:rsid w:val="00F20639"/>
    <w:rsid w:val="00F40944"/>
    <w:rsid w:val="00F42048"/>
    <w:rsid w:val="00F53B7D"/>
    <w:rsid w:val="00F97604"/>
    <w:rsid w:val="00FC5027"/>
    <w:rsid w:val="00FD0EF4"/>
    <w:rsid w:val="00FE094D"/>
    <w:rsid w:val="00FE3323"/>
    <w:rsid w:val="00FE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0F45"/>
  <w15:docId w15:val="{E6937B3D-C86D-40D0-8329-9EF58FD2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Заголовок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87437">
      <w:bodyDiv w:val="1"/>
      <w:marLeft w:val="0"/>
      <w:marRight w:val="0"/>
      <w:marTop w:val="0"/>
      <w:marBottom w:val="0"/>
      <w:divBdr>
        <w:top w:val="none" w:sz="0" w:space="0" w:color="auto"/>
        <w:left w:val="none" w:sz="0" w:space="0" w:color="auto"/>
        <w:bottom w:val="none" w:sz="0" w:space="0" w:color="auto"/>
        <w:right w:val="none" w:sz="0" w:space="0" w:color="auto"/>
      </w:divBdr>
    </w:div>
    <w:div w:id="14333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isclosure.ru/portal/company.aspx?id=2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seti-kub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C26F2-CE6B-44A6-AA55-1725DCD9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3</cp:revision>
  <cp:lastPrinted>2013-04-29T05:49:00Z</cp:lastPrinted>
  <dcterms:created xsi:type="dcterms:W3CDTF">2021-06-22T14:27:00Z</dcterms:created>
  <dcterms:modified xsi:type="dcterms:W3CDTF">2021-06-22T14:39:00Z</dcterms:modified>
</cp:coreProperties>
</file>