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ED4F" w14:textId="77777777" w:rsidR="00051DFB" w:rsidRPr="00051DFB" w:rsidRDefault="00051DFB" w:rsidP="00051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D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7521E449" w14:textId="77777777" w:rsidR="00051DFB" w:rsidRPr="00051DFB" w:rsidRDefault="00051DFB" w:rsidP="00051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DFB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0AC1F285" w14:textId="303FB6A3" w:rsidR="00773A71" w:rsidRPr="001D495A" w:rsidRDefault="00051DFB" w:rsidP="00051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51DFB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051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DF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51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DFB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051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DFB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051DF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1D495A" w14:paraId="7C1C5097" w14:textId="77777777" w:rsidTr="005C6F2C">
        <w:tc>
          <w:tcPr>
            <w:tcW w:w="10206" w:type="dxa"/>
            <w:gridSpan w:val="2"/>
          </w:tcPr>
          <w:p w14:paraId="4D81801A" w14:textId="7D8C29C5" w:rsidR="0045226D" w:rsidRPr="001D495A" w:rsidRDefault="00817E3E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43BD3" w:rsidRPr="00817E3E" w14:paraId="6335BEBC" w14:textId="77777777" w:rsidTr="005C6F2C">
        <w:trPr>
          <w:trHeight w:val="599"/>
        </w:trPr>
        <w:tc>
          <w:tcPr>
            <w:tcW w:w="4395" w:type="dxa"/>
          </w:tcPr>
          <w:p w14:paraId="654CA751" w14:textId="0426B99C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48BBAF02" w14:textId="63D48261" w:rsidR="00E43BD3" w:rsidRPr="00817E3E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E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E43BD3" w:rsidRPr="001D495A" w14:paraId="18D4318A" w14:textId="77777777" w:rsidTr="005C6F2C">
        <w:tc>
          <w:tcPr>
            <w:tcW w:w="4395" w:type="dxa"/>
          </w:tcPr>
          <w:p w14:paraId="1FE3186D" w14:textId="341BF1B7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6147C16C" w14:textId="6A9A9C7A" w:rsidR="00E43BD3" w:rsidRPr="00817E3E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817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E43BD3" w:rsidRPr="001D495A" w14:paraId="4E55C0FE" w14:textId="77777777" w:rsidTr="005C6F2C">
        <w:trPr>
          <w:trHeight w:val="399"/>
        </w:trPr>
        <w:tc>
          <w:tcPr>
            <w:tcW w:w="4395" w:type="dxa"/>
          </w:tcPr>
          <w:p w14:paraId="1F7D44CA" w14:textId="4D747D07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23C4C211" w14:textId="52EA5673" w:rsidR="00E43BD3" w:rsidRPr="00817E3E" w:rsidRDefault="00E43BD3" w:rsidP="00E43BD3">
            <w:r w:rsidRPr="00817E3E">
              <w:rPr>
                <w:b/>
                <w:bCs/>
                <w:i/>
                <w:iCs/>
              </w:rPr>
              <w:t xml:space="preserve">Russian Federation, </w:t>
            </w:r>
            <w:proofErr w:type="spellStart"/>
            <w:r w:rsidRPr="00817E3E">
              <w:rPr>
                <w:b/>
                <w:bCs/>
                <w:i/>
                <w:iCs/>
              </w:rPr>
              <w:t>Krasnodar</w:t>
            </w:r>
            <w:proofErr w:type="spellEnd"/>
          </w:p>
        </w:tc>
      </w:tr>
      <w:tr w:rsidR="00E43BD3" w:rsidRPr="001D495A" w14:paraId="72C007BB" w14:textId="77777777" w:rsidTr="005C6F2C">
        <w:tc>
          <w:tcPr>
            <w:tcW w:w="4395" w:type="dxa"/>
          </w:tcPr>
          <w:p w14:paraId="4AD9C0AA" w14:textId="15C894B9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PSRN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1EC12548" w14:textId="77777777" w:rsidR="00E43BD3" w:rsidRPr="001D495A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1022301427268</w:t>
            </w:r>
          </w:p>
        </w:tc>
      </w:tr>
      <w:tr w:rsidR="00E43BD3" w:rsidRPr="001D495A" w14:paraId="1EC14890" w14:textId="77777777" w:rsidTr="005C6F2C">
        <w:tc>
          <w:tcPr>
            <w:tcW w:w="4395" w:type="dxa"/>
          </w:tcPr>
          <w:p w14:paraId="4BF58333" w14:textId="1356C9FE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TIN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24B71585" w14:textId="77777777" w:rsidR="00E43BD3" w:rsidRPr="001D495A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2309001660</w:t>
            </w:r>
          </w:p>
        </w:tc>
      </w:tr>
      <w:tr w:rsidR="00E43BD3" w:rsidRPr="001D495A" w14:paraId="7B674153" w14:textId="77777777" w:rsidTr="005C6F2C">
        <w:tc>
          <w:tcPr>
            <w:tcW w:w="4395" w:type="dxa"/>
          </w:tcPr>
          <w:p w14:paraId="78098D75" w14:textId="3F6E2FE7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2184B6D8" w14:textId="77777777" w:rsidR="00E43BD3" w:rsidRPr="001D495A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00063-А</w:t>
            </w:r>
          </w:p>
        </w:tc>
      </w:tr>
      <w:tr w:rsidR="00E43BD3" w:rsidRPr="001D495A" w14:paraId="696CD2A7" w14:textId="77777777" w:rsidTr="005C6F2C">
        <w:trPr>
          <w:trHeight w:val="820"/>
        </w:trPr>
        <w:tc>
          <w:tcPr>
            <w:tcW w:w="4395" w:type="dxa"/>
          </w:tcPr>
          <w:p w14:paraId="43420A95" w14:textId="3ED7BFAF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579CD2AA" w14:textId="77777777" w:rsidR="00E43BD3" w:rsidRPr="001D495A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https://rosseti-kuban.ru/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4AAA1C" w14:textId="77777777" w:rsidR="00E43BD3" w:rsidRPr="001D495A" w:rsidRDefault="00E43BD3" w:rsidP="00E43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http://www.e-disclosure.ru/portal/company.aspx?id=2827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3BD3" w:rsidRPr="001D495A" w14:paraId="2334063B" w14:textId="77777777" w:rsidTr="005C6F2C">
        <w:tc>
          <w:tcPr>
            <w:tcW w:w="4395" w:type="dxa"/>
          </w:tcPr>
          <w:p w14:paraId="0EDA52BF" w14:textId="635536FD" w:rsidR="00E43BD3" w:rsidRPr="00E43BD3" w:rsidRDefault="00E43BD3" w:rsidP="00E43BD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 the basis of</w:t>
            </w:r>
            <w:proofErr w:type="gramEnd"/>
            <w:r w:rsidRPr="00E43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68A52973" w14:textId="6FBF4557" w:rsidR="00E43BD3" w:rsidRPr="003510CE" w:rsidRDefault="00E43BD3" w:rsidP="00E43BD3">
            <w:r>
              <w:rPr>
                <w:lang w:val="en-US"/>
              </w:rPr>
              <w:t xml:space="preserve">April 2, </w:t>
            </w:r>
            <w:r>
              <w:t>2021</w:t>
            </w:r>
          </w:p>
        </w:tc>
      </w:tr>
      <w:tr w:rsidR="00E57436" w:rsidRPr="001D495A" w14:paraId="302F15FC" w14:textId="77777777" w:rsidTr="005C6F2C">
        <w:tc>
          <w:tcPr>
            <w:tcW w:w="10206" w:type="dxa"/>
            <w:gridSpan w:val="2"/>
          </w:tcPr>
          <w:p w14:paraId="1DDFDD07" w14:textId="7B43AE55" w:rsidR="00E57436" w:rsidRPr="00817E3E" w:rsidRDefault="00E57436" w:rsidP="006A7084">
            <w:pPr>
              <w:jc w:val="center"/>
              <w:rPr>
                <w:lang w:val="en-US"/>
              </w:rPr>
            </w:pPr>
            <w:r w:rsidRPr="001D495A">
              <w:t xml:space="preserve">2. </w:t>
            </w:r>
            <w:r w:rsidR="00817E3E">
              <w:rPr>
                <w:lang w:val="en-US"/>
              </w:rPr>
              <w:t>Notification content</w:t>
            </w:r>
          </w:p>
        </w:tc>
      </w:tr>
      <w:tr w:rsidR="004D0A6C" w:rsidRPr="001D495A" w14:paraId="08B3F48C" w14:textId="77777777" w:rsidTr="005C6F2C">
        <w:trPr>
          <w:trHeight w:val="3445"/>
        </w:trPr>
        <w:tc>
          <w:tcPr>
            <w:tcW w:w="10206" w:type="dxa"/>
            <w:gridSpan w:val="2"/>
          </w:tcPr>
          <w:p w14:paraId="4EE97AC4" w14:textId="77777777" w:rsidR="00E43BD3" w:rsidRPr="00E43BD3" w:rsidRDefault="004D0A6C" w:rsidP="00E43B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E43BD3" w:rsidRPr="00E43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6E178D23" w14:textId="77777777" w:rsidR="00E43BD3" w:rsidRPr="00E43BD3" w:rsidRDefault="00E43BD3" w:rsidP="00E43BD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188E730D" w14:textId="77777777" w:rsidR="00E43BD3" w:rsidRPr="00E43BD3" w:rsidRDefault="00E43BD3" w:rsidP="00E43BD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Number of members participated in the meeting: ten (10) in number.</w:t>
            </w:r>
          </w:p>
          <w:p w14:paraId="2BE06C9A" w14:textId="77777777" w:rsidR="00E43BD3" w:rsidRPr="00E43BD3" w:rsidRDefault="00E43BD3" w:rsidP="00E43BD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57083172" w14:textId="5185B3F9" w:rsidR="007E1E11" w:rsidRPr="00E43BD3" w:rsidRDefault="00E43BD3" w:rsidP="00E43B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Election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returns</w:t>
            </w:r>
            <w:proofErr w:type="spellEnd"/>
            <w:r w:rsidRPr="00E43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E43BD3" w:rsidRPr="001D495A" w14:paraId="0E065DA3" w14:textId="77777777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2F0ABE3C" w14:textId="77777777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  <w:proofErr w:type="spellEnd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No.</w:t>
                  </w:r>
                </w:p>
                <w:p w14:paraId="705DD487" w14:textId="53102FE8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98" w:type="dxa"/>
                  <w:gridSpan w:val="3"/>
                </w:tcPr>
                <w:p w14:paraId="5AAF3162" w14:textId="26F65463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</w:t>
                  </w:r>
                  <w:proofErr w:type="spellStart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votes</w:t>
                  </w:r>
                  <w:proofErr w:type="spellEnd"/>
                </w:p>
              </w:tc>
            </w:tr>
            <w:tr w:rsidR="00E43BD3" w:rsidRPr="001D495A" w14:paraId="18DC0EA4" w14:textId="77777777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14:paraId="2542F24F" w14:textId="77777777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14:paraId="14568E1A" w14:textId="4D40E414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57964746" w14:textId="78A59B94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Against</w:t>
                  </w:r>
                  <w:proofErr w:type="spellEnd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680" w:type="dxa"/>
                </w:tcPr>
                <w:p w14:paraId="3B391B60" w14:textId="5011DF61" w:rsidR="00E43BD3" w:rsidRPr="00E43BD3" w:rsidRDefault="00E43BD3" w:rsidP="00E43B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Abstain</w:t>
                  </w:r>
                  <w:proofErr w:type="spellEnd"/>
                  <w:r w:rsidRPr="00E43BD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</w:tr>
            <w:tr w:rsidR="007E1E11" w:rsidRPr="001D495A" w14:paraId="6EA642B8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4D2A581C" w14:textId="77777777" w:rsidR="007E1E11" w:rsidRPr="001D495A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9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6C82FC4A" w14:textId="77777777" w:rsidR="007E1E11" w:rsidRPr="001D495A" w:rsidRDefault="00B70E50" w:rsidP="00E339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9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7815A614" w14:textId="77777777" w:rsidR="007E1E11" w:rsidRPr="001D495A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71914F90" w14:textId="77777777" w:rsidR="007E1E11" w:rsidRPr="001D495A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C6F2C" w:rsidRPr="001D495A" w14:paraId="682BF1A8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7B5A6CF9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14:paraId="57138E75" w14:textId="77777777" w:rsidR="005C6F2C" w:rsidRPr="001D495A" w:rsidRDefault="005C6F2C" w:rsidP="00E339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244CFE0A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38BA8FD0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C6F2C" w:rsidRPr="001D495A" w14:paraId="0FD174AD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78E2A4BA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14:paraId="29D66696" w14:textId="77777777" w:rsidR="005C6F2C" w:rsidRPr="001D495A" w:rsidRDefault="005C6F2C" w:rsidP="00E339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212A5B71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7102B472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C6F2C" w:rsidRPr="001D495A" w14:paraId="7B412BD2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7175BCAE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14:paraId="4CD44304" w14:textId="77777777" w:rsidR="005C6F2C" w:rsidRPr="001D495A" w:rsidRDefault="005C6F2C" w:rsidP="00E339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061BC833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72DBF489" w14:textId="77777777" w:rsidR="005C6F2C" w:rsidRPr="001D495A" w:rsidRDefault="005C6F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E3B0177" w14:textId="77777777" w:rsidR="004D0A6C" w:rsidRPr="001D495A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0E64BE" w14:paraId="6A5B285B" w14:textId="77777777" w:rsidTr="005C6F2C">
        <w:tc>
          <w:tcPr>
            <w:tcW w:w="10206" w:type="dxa"/>
            <w:gridSpan w:val="2"/>
          </w:tcPr>
          <w:p w14:paraId="3734A390" w14:textId="77777777" w:rsidR="00E43BD3" w:rsidRPr="00E43BD3" w:rsidRDefault="00E43BD3" w:rsidP="00E43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insider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</w:t>
            </w:r>
          </w:p>
          <w:p w14:paraId="312B6F57" w14:textId="45C0E9D4" w:rsidR="004D0A6C" w:rsidRPr="000E64BE" w:rsidRDefault="00E43BD3" w:rsidP="005C6F2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0E64B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0E64BE">
              <w:rPr>
                <w:b/>
                <w:lang w:val="en-US"/>
              </w:rPr>
              <w:t xml:space="preserve">. </w:t>
            </w:r>
            <w:r w:rsidR="00275923" w:rsidRPr="000E64BE">
              <w:rPr>
                <w:b/>
                <w:lang w:val="en-US"/>
              </w:rPr>
              <w:t>1</w:t>
            </w:r>
            <w:r w:rsidR="00212EFE" w:rsidRPr="000E64BE">
              <w:rPr>
                <w:b/>
                <w:lang w:val="en-US"/>
              </w:rPr>
              <w:t xml:space="preserve"> </w:t>
            </w:r>
            <w:r w:rsidR="000E64BE">
              <w:rPr>
                <w:b/>
                <w:lang w:val="en-US"/>
              </w:rPr>
              <w:t>“</w:t>
            </w:r>
            <w:r w:rsidR="000E64BE" w:rsidRPr="000E64BE">
              <w:rPr>
                <w:b/>
                <w:bCs/>
                <w:lang w:val="en-US"/>
              </w:rPr>
              <w:t>On approval of the tweak plan for development of business assets’ control system and mobilization implementation Plan for development of business assets’ control system of PJSC Rosseti Kuban for 2020-2022</w:t>
            </w:r>
            <w:r w:rsidR="000E64BE">
              <w:rPr>
                <w:b/>
                <w:bCs/>
                <w:lang w:val="en-US"/>
              </w:rPr>
              <w:t>”</w:t>
            </w:r>
            <w:r w:rsidR="00F17E12" w:rsidRPr="000E64BE">
              <w:rPr>
                <w:b/>
                <w:bCs/>
                <w:lang w:val="en-US"/>
              </w:rPr>
              <w:t>.</w:t>
            </w:r>
          </w:p>
        </w:tc>
      </w:tr>
      <w:tr w:rsidR="00471361" w:rsidRPr="001D495A" w14:paraId="182BF236" w14:textId="77777777" w:rsidTr="005C6F2C">
        <w:trPr>
          <w:trHeight w:val="416"/>
        </w:trPr>
        <w:tc>
          <w:tcPr>
            <w:tcW w:w="10206" w:type="dxa"/>
            <w:gridSpan w:val="2"/>
          </w:tcPr>
          <w:p w14:paraId="46281D66" w14:textId="6A9AF090" w:rsidR="004A3A4C" w:rsidRPr="00AF25B8" w:rsidRDefault="004A3A4C" w:rsidP="0001051D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 xml:space="preserve">2.2.1. </w:t>
            </w:r>
            <w:r w:rsidR="00AF25B8" w:rsidRPr="00AF25B8">
              <w:rPr>
                <w:lang w:val="en-US"/>
              </w:rPr>
              <w:t>Content of resolutions passed by the Issuers’ Board of Directors</w:t>
            </w:r>
            <w:r w:rsidRPr="00AF25B8">
              <w:rPr>
                <w:lang w:val="en-US"/>
              </w:rPr>
              <w:t>:</w:t>
            </w:r>
          </w:p>
          <w:p w14:paraId="6F683333" w14:textId="24661AF8" w:rsidR="000E64BE" w:rsidRPr="000E64BE" w:rsidRDefault="005C6F2C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0E64BE">
              <w:rPr>
                <w:bCs/>
                <w:i/>
                <w:iCs/>
                <w:lang w:val="en-US"/>
              </w:rPr>
              <w:t>1.</w:t>
            </w:r>
            <w:r w:rsidR="000E64BE" w:rsidRPr="000E64BE">
              <w:rPr>
                <w:lang w:val="en-US"/>
              </w:rPr>
              <w:t xml:space="preserve"> </w:t>
            </w:r>
            <w:r w:rsidR="000E64BE" w:rsidRPr="000E64BE">
              <w:rPr>
                <w:i/>
                <w:iCs/>
                <w:lang w:val="en-US"/>
              </w:rPr>
              <w:t>T</w:t>
            </w:r>
            <w:r w:rsidR="000E64BE" w:rsidRPr="000E64BE">
              <w:rPr>
                <w:i/>
                <w:iCs/>
                <w:lang w:val="en-US"/>
              </w:rPr>
              <w:t>he tweak plan for development of business assets’ control system</w:t>
            </w:r>
            <w:r w:rsidR="000E64BE" w:rsidRPr="000E64BE">
              <w:rPr>
                <w:i/>
                <w:iCs/>
                <w:lang w:val="en-US"/>
              </w:rPr>
              <w:t xml:space="preserve"> of PJSC Rosseti Kuban</w:t>
            </w:r>
            <w:r w:rsidR="000E64BE" w:rsidRPr="000E64BE">
              <w:rPr>
                <w:i/>
                <w:iCs/>
                <w:lang w:val="en-US"/>
              </w:rPr>
              <w:t xml:space="preserve"> and mobilization implementation </w:t>
            </w:r>
            <w:r w:rsidR="000E64BE">
              <w:rPr>
                <w:i/>
                <w:iCs/>
                <w:lang w:val="en-US"/>
              </w:rPr>
              <w:t>p</w:t>
            </w:r>
            <w:r w:rsidR="000E64BE" w:rsidRPr="000E64BE">
              <w:rPr>
                <w:i/>
                <w:iCs/>
                <w:lang w:val="en-US"/>
              </w:rPr>
              <w:t>lan for development of business assets’ control system of PJSC Rosseti Kuban for 2020-2022</w:t>
            </w:r>
            <w:r w:rsidR="000E64BE">
              <w:rPr>
                <w:lang w:val="en-US"/>
              </w:rPr>
              <w:t xml:space="preserve"> </w:t>
            </w:r>
            <w:proofErr w:type="gramStart"/>
            <w:r w:rsidR="000E64BE" w:rsidRPr="000E64BE">
              <w:rPr>
                <w:bCs/>
                <w:i/>
                <w:iCs/>
                <w:lang w:val="en-US"/>
              </w:rPr>
              <w:t>are considered to be</w:t>
            </w:r>
            <w:proofErr w:type="gramEnd"/>
            <w:r w:rsidR="000E64BE" w:rsidRPr="000E64BE">
              <w:rPr>
                <w:bCs/>
                <w:i/>
                <w:iCs/>
                <w:lang w:val="en-US"/>
              </w:rPr>
              <w:t xml:space="preserve"> no longer in force</w:t>
            </w:r>
            <w:r w:rsidR="000E64BE">
              <w:rPr>
                <w:bCs/>
                <w:i/>
                <w:iCs/>
                <w:lang w:val="en-US"/>
              </w:rPr>
              <w:t xml:space="preserve"> </w:t>
            </w:r>
            <w:r w:rsidR="000E64BE" w:rsidRPr="000E64BE">
              <w:rPr>
                <w:bCs/>
                <w:i/>
                <w:iCs/>
                <w:lang w:val="en-US"/>
              </w:rPr>
              <w:t xml:space="preserve">passed by the </w:t>
            </w:r>
            <w:r w:rsidR="000E64BE">
              <w:rPr>
                <w:bCs/>
                <w:i/>
                <w:iCs/>
                <w:lang w:val="en-US"/>
              </w:rPr>
              <w:t xml:space="preserve">Company’s </w:t>
            </w:r>
            <w:r w:rsidR="000E64BE" w:rsidRPr="000E64BE">
              <w:rPr>
                <w:bCs/>
                <w:i/>
                <w:iCs/>
                <w:lang w:val="en-US"/>
              </w:rPr>
              <w:t>Board of Directors of</w:t>
            </w:r>
            <w:r w:rsidR="000E64BE">
              <w:rPr>
                <w:bCs/>
                <w:i/>
                <w:iCs/>
                <w:lang w:val="en-US"/>
              </w:rPr>
              <w:t xml:space="preserve"> September 14, 2020 (Minutes No. 402/2020 of September 16, 2020).</w:t>
            </w:r>
          </w:p>
          <w:p w14:paraId="78C2E00B" w14:textId="44638EEE" w:rsidR="000E64BE" w:rsidRPr="000E64BE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0E64BE">
              <w:rPr>
                <w:bCs/>
                <w:i/>
                <w:iCs/>
                <w:lang w:val="en-US"/>
              </w:rPr>
              <w:t>2.</w:t>
            </w:r>
            <w:r w:rsidR="000E64BE">
              <w:rPr>
                <w:bCs/>
                <w:i/>
                <w:iCs/>
                <w:lang w:val="en-US"/>
              </w:rPr>
              <w:t xml:space="preserve"> To approve the</w:t>
            </w:r>
            <w:r w:rsidR="002B73FD" w:rsidRPr="000E64BE">
              <w:rPr>
                <w:i/>
                <w:iCs/>
                <w:lang w:val="en-US"/>
              </w:rPr>
              <w:t xml:space="preserve"> </w:t>
            </w:r>
            <w:r w:rsidR="002B73FD" w:rsidRPr="000E64BE">
              <w:rPr>
                <w:i/>
                <w:iCs/>
                <w:lang w:val="en-US"/>
              </w:rPr>
              <w:t>tweak plan for development of business assets’ control system of PJSC Rosseti</w:t>
            </w:r>
            <w:r w:rsidR="002B73FD">
              <w:rPr>
                <w:i/>
                <w:iCs/>
                <w:lang w:val="en-US"/>
              </w:rPr>
              <w:t xml:space="preserve"> Kuban for 2020-2022 in accordance with Appendix No. 1</w:t>
            </w:r>
            <w:r w:rsidR="002B73FD">
              <w:rPr>
                <w:bCs/>
                <w:i/>
                <w:iCs/>
                <w:lang w:val="en-US"/>
              </w:rPr>
              <w:t xml:space="preserve"> </w:t>
            </w:r>
            <w:r w:rsidR="000E64BE" w:rsidRPr="00E5040B">
              <w:rPr>
                <w:bCs/>
                <w:i/>
                <w:iCs/>
                <w:lang w:val="en-US"/>
              </w:rPr>
              <w:t>to the present resolution of the Company’s Board of Directors</w:t>
            </w:r>
            <w:r w:rsidR="002B73FD">
              <w:rPr>
                <w:bCs/>
                <w:i/>
                <w:iCs/>
                <w:lang w:val="en-US"/>
              </w:rPr>
              <w:t>.</w:t>
            </w:r>
          </w:p>
          <w:p w14:paraId="00D57667" w14:textId="590D2399" w:rsidR="00E10D4D" w:rsidRPr="002B73F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B73FD">
              <w:rPr>
                <w:bCs/>
                <w:i/>
                <w:iCs/>
                <w:lang w:val="en-US"/>
              </w:rPr>
              <w:t>3. </w:t>
            </w:r>
            <w:r w:rsidR="002B73FD">
              <w:rPr>
                <w:bCs/>
                <w:i/>
                <w:iCs/>
                <w:lang w:val="en-US"/>
              </w:rPr>
              <w:t xml:space="preserve">To approve the </w:t>
            </w:r>
            <w:r w:rsidR="002B73FD" w:rsidRPr="000E64BE">
              <w:rPr>
                <w:i/>
                <w:iCs/>
                <w:lang w:val="en-US"/>
              </w:rPr>
              <w:t xml:space="preserve">mobilization implementation </w:t>
            </w:r>
            <w:r w:rsidR="002B73FD">
              <w:rPr>
                <w:i/>
                <w:iCs/>
                <w:lang w:val="en-US"/>
              </w:rPr>
              <w:t>p</w:t>
            </w:r>
            <w:r w:rsidR="002B73FD" w:rsidRPr="000E64BE">
              <w:rPr>
                <w:i/>
                <w:iCs/>
                <w:lang w:val="en-US"/>
              </w:rPr>
              <w:t>lan for development of business assets’ control system of PJSC Rosseti Kuban for 2020-2022</w:t>
            </w:r>
            <w:r w:rsidR="002B73FD">
              <w:rPr>
                <w:i/>
                <w:iCs/>
                <w:lang w:val="en-US"/>
              </w:rPr>
              <w:t xml:space="preserve"> as amended </w:t>
            </w:r>
            <w:r w:rsidR="002B73FD">
              <w:rPr>
                <w:i/>
                <w:iCs/>
                <w:lang w:val="en-US"/>
              </w:rPr>
              <w:t xml:space="preserve">in accordance with Appendix No. </w:t>
            </w:r>
            <w:r w:rsidR="002B73FD">
              <w:rPr>
                <w:i/>
                <w:iCs/>
                <w:lang w:val="en-US"/>
              </w:rPr>
              <w:t>2</w:t>
            </w:r>
            <w:r w:rsidR="002B73FD">
              <w:rPr>
                <w:bCs/>
                <w:i/>
                <w:iCs/>
                <w:lang w:val="en-US"/>
              </w:rPr>
              <w:t xml:space="preserve"> </w:t>
            </w:r>
            <w:r w:rsidR="002B73FD" w:rsidRPr="00E5040B">
              <w:rPr>
                <w:bCs/>
                <w:i/>
                <w:iCs/>
                <w:lang w:val="en-US"/>
              </w:rPr>
              <w:t>to the present resolution of the Company’s Board of Directors</w:t>
            </w:r>
            <w:r w:rsidR="002B73FD">
              <w:rPr>
                <w:bCs/>
                <w:i/>
                <w:iCs/>
                <w:lang w:val="en-US"/>
              </w:rPr>
              <w:t>.</w:t>
            </w:r>
          </w:p>
        </w:tc>
      </w:tr>
      <w:tr w:rsidR="005C6F2C" w:rsidRPr="002A573D" w14:paraId="23C6FC85" w14:textId="77777777" w:rsidTr="005C6F2C">
        <w:tc>
          <w:tcPr>
            <w:tcW w:w="10206" w:type="dxa"/>
            <w:gridSpan w:val="2"/>
          </w:tcPr>
          <w:p w14:paraId="7F6E092F" w14:textId="77777777" w:rsidR="00E43BD3" w:rsidRDefault="00E43BD3" w:rsidP="00E43BD3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E43BD3">
              <w:rPr>
                <w:rFonts w:eastAsiaTheme="minorHAnsi"/>
                <w:b/>
                <w:lang w:eastAsia="en-US"/>
              </w:rPr>
              <w:t>Disclosure</w:t>
            </w:r>
            <w:proofErr w:type="spellEnd"/>
            <w:r w:rsidRPr="00E43BD3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E43BD3">
              <w:rPr>
                <w:rFonts w:eastAsiaTheme="minorHAnsi"/>
                <w:b/>
                <w:lang w:eastAsia="en-US"/>
              </w:rPr>
              <w:t>of</w:t>
            </w:r>
            <w:proofErr w:type="spellEnd"/>
            <w:r w:rsidRPr="00E43BD3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E43BD3">
              <w:rPr>
                <w:rFonts w:eastAsiaTheme="minorHAnsi"/>
                <w:b/>
                <w:lang w:eastAsia="en-US"/>
              </w:rPr>
              <w:t>insider</w:t>
            </w:r>
            <w:proofErr w:type="spellEnd"/>
            <w:r w:rsidRPr="00E43BD3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E43BD3">
              <w:rPr>
                <w:rFonts w:eastAsiaTheme="minorHAnsi"/>
                <w:b/>
                <w:lang w:eastAsia="en-US"/>
              </w:rPr>
              <w:t>information</w:t>
            </w:r>
            <w:proofErr w:type="spellEnd"/>
          </w:p>
          <w:p w14:paraId="02FC4A9C" w14:textId="46C2FB4F" w:rsidR="005C6F2C" w:rsidRPr="002A573D" w:rsidRDefault="002A573D" w:rsidP="005C6F2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2A573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2A573D">
              <w:rPr>
                <w:b/>
                <w:lang w:val="en-US"/>
              </w:rPr>
              <w:t xml:space="preserve">. </w:t>
            </w:r>
            <w:r w:rsidR="005C6F2C" w:rsidRPr="002A573D">
              <w:rPr>
                <w:b/>
                <w:lang w:val="en-US"/>
              </w:rPr>
              <w:t xml:space="preserve">2 </w:t>
            </w:r>
            <w:r>
              <w:rPr>
                <w:b/>
                <w:lang w:val="en-US"/>
              </w:rPr>
              <w:t>“</w:t>
            </w:r>
            <w:r w:rsidRPr="002A573D">
              <w:rPr>
                <w:b/>
                <w:bCs/>
                <w:lang w:val="en-US"/>
              </w:rPr>
              <w:t>On updating the status of the most important areas of business of the Company</w:t>
            </w:r>
            <w:r>
              <w:rPr>
                <w:b/>
                <w:bCs/>
                <w:lang w:val="en-US"/>
              </w:rPr>
              <w:t>”</w:t>
            </w:r>
            <w:r w:rsidR="005C6F2C" w:rsidRPr="002A573D">
              <w:rPr>
                <w:b/>
                <w:bCs/>
                <w:lang w:val="en-US"/>
              </w:rPr>
              <w:t>.</w:t>
            </w:r>
          </w:p>
        </w:tc>
      </w:tr>
      <w:tr w:rsidR="005C6F2C" w:rsidRPr="002A573D" w14:paraId="73846860" w14:textId="77777777" w:rsidTr="005C6F2C">
        <w:trPr>
          <w:trHeight w:val="416"/>
        </w:trPr>
        <w:tc>
          <w:tcPr>
            <w:tcW w:w="10206" w:type="dxa"/>
            <w:gridSpan w:val="2"/>
          </w:tcPr>
          <w:p w14:paraId="23D2367D" w14:textId="3B409EFA" w:rsidR="005C6F2C" w:rsidRPr="00AF25B8" w:rsidRDefault="005C6F2C" w:rsidP="008D316F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>2.2.</w:t>
            </w:r>
            <w:r>
              <w:t>2</w:t>
            </w:r>
            <w:r w:rsidRPr="001D495A">
              <w:t xml:space="preserve">. </w:t>
            </w:r>
            <w:r w:rsidR="00AF25B8" w:rsidRPr="00AF25B8">
              <w:rPr>
                <w:lang w:val="en-US"/>
              </w:rPr>
              <w:t>Content of resolutions passed by the Issuers’ Board of Directors</w:t>
            </w:r>
            <w:r w:rsidRPr="00AF25B8">
              <w:rPr>
                <w:lang w:val="en-US"/>
              </w:rPr>
              <w:t>:</w:t>
            </w:r>
          </w:p>
          <w:p w14:paraId="788A35FB" w14:textId="6F84068F" w:rsidR="002A573D" w:rsidRPr="000E64BE" w:rsidRDefault="003510CE" w:rsidP="002A573D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1. </w:t>
            </w:r>
            <w:r w:rsidR="002A573D">
              <w:rPr>
                <w:bCs/>
                <w:i/>
                <w:iCs/>
                <w:lang w:val="en-US"/>
              </w:rPr>
              <w:t xml:space="preserve">To approve the information on the </w:t>
            </w:r>
            <w:r w:rsidR="002A573D" w:rsidRPr="002A573D">
              <w:rPr>
                <w:bCs/>
                <w:i/>
                <w:iCs/>
                <w:lang w:val="en-US"/>
              </w:rPr>
              <w:t>status of the most important areas of business of the Company</w:t>
            </w:r>
            <w:r w:rsidR="002A573D">
              <w:rPr>
                <w:bCs/>
                <w:i/>
                <w:iCs/>
                <w:lang w:val="en-US"/>
              </w:rPr>
              <w:t xml:space="preserve"> </w:t>
            </w:r>
            <w:r w:rsidR="002A573D">
              <w:rPr>
                <w:i/>
                <w:iCs/>
                <w:lang w:val="en-US"/>
              </w:rPr>
              <w:t xml:space="preserve">in accordance with Appendix No. </w:t>
            </w:r>
            <w:r w:rsidR="002A573D">
              <w:rPr>
                <w:i/>
                <w:iCs/>
                <w:lang w:val="en-US"/>
              </w:rPr>
              <w:t>3</w:t>
            </w:r>
            <w:r w:rsidR="002A573D">
              <w:rPr>
                <w:bCs/>
                <w:i/>
                <w:iCs/>
                <w:lang w:val="en-US"/>
              </w:rPr>
              <w:t xml:space="preserve"> </w:t>
            </w:r>
            <w:r w:rsidR="002A573D" w:rsidRPr="00E5040B">
              <w:rPr>
                <w:bCs/>
                <w:i/>
                <w:iCs/>
                <w:lang w:val="en-US"/>
              </w:rPr>
              <w:t>to the present resolution of the Company’s Board of Directors</w:t>
            </w:r>
            <w:r w:rsidR="002A573D">
              <w:rPr>
                <w:bCs/>
                <w:i/>
                <w:iCs/>
                <w:lang w:val="en-US"/>
              </w:rPr>
              <w:t>.</w:t>
            </w:r>
          </w:p>
          <w:p w14:paraId="122DAADE" w14:textId="55D42C81" w:rsidR="002A573D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>2.</w:t>
            </w:r>
            <w:r w:rsidRPr="002A573D">
              <w:rPr>
                <w:bCs/>
                <w:i/>
                <w:iCs/>
                <w:lang w:val="en-US"/>
              </w:rPr>
              <w:tab/>
            </w:r>
            <w:r w:rsidR="002A573D" w:rsidRPr="002A573D">
              <w:rPr>
                <w:bCs/>
                <w:i/>
                <w:iCs/>
                <w:lang w:val="en-US"/>
              </w:rPr>
              <w:t xml:space="preserve">The following priority areas of </w:t>
            </w:r>
            <w:r w:rsidR="002A573D">
              <w:rPr>
                <w:bCs/>
                <w:i/>
                <w:iCs/>
                <w:lang w:val="en-US"/>
              </w:rPr>
              <w:t xml:space="preserve">the Company’s </w:t>
            </w:r>
            <w:r w:rsidR="002A573D" w:rsidRPr="002A573D">
              <w:rPr>
                <w:bCs/>
                <w:i/>
                <w:iCs/>
                <w:lang w:val="en-US"/>
              </w:rPr>
              <w:t xml:space="preserve">activity </w:t>
            </w:r>
            <w:proofErr w:type="gramStart"/>
            <w:r w:rsidR="002A573D" w:rsidRPr="002A573D">
              <w:rPr>
                <w:bCs/>
                <w:i/>
                <w:iCs/>
                <w:lang w:val="en-US"/>
              </w:rPr>
              <w:t>are considered to be</w:t>
            </w:r>
            <w:proofErr w:type="gramEnd"/>
            <w:r w:rsidR="002A573D" w:rsidRPr="002A573D">
              <w:rPr>
                <w:bCs/>
                <w:i/>
                <w:iCs/>
                <w:lang w:val="en-US"/>
              </w:rPr>
              <w:t xml:space="preserve"> no longer in force</w:t>
            </w:r>
            <w:r w:rsidR="002A573D">
              <w:rPr>
                <w:bCs/>
                <w:i/>
                <w:iCs/>
                <w:lang w:val="en-US"/>
              </w:rPr>
              <w:t>:</w:t>
            </w:r>
          </w:p>
          <w:p w14:paraId="3C650C85" w14:textId="1756D035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2.1. </w:t>
            </w:r>
            <w:r w:rsidR="002A573D" w:rsidRPr="002A573D">
              <w:rPr>
                <w:bCs/>
                <w:i/>
                <w:iCs/>
                <w:lang w:val="en-US"/>
              </w:rPr>
              <w:t>Due to the implementation and expiration of measures implementation</w:t>
            </w:r>
            <w:r w:rsidRPr="002A573D">
              <w:rPr>
                <w:bCs/>
                <w:i/>
                <w:iCs/>
                <w:lang w:val="en-US"/>
              </w:rPr>
              <w:t>:</w:t>
            </w:r>
          </w:p>
          <w:p w14:paraId="0B9E237C" w14:textId="6853DFF5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- </w:t>
            </w:r>
            <w:r w:rsidR="002A573D">
              <w:rPr>
                <w:bCs/>
                <w:i/>
                <w:iCs/>
                <w:lang w:val="en-US"/>
              </w:rPr>
              <w:t>“E</w:t>
            </w:r>
            <w:r w:rsidR="002A573D" w:rsidRPr="002A573D">
              <w:rPr>
                <w:bCs/>
                <w:i/>
                <w:iCs/>
                <w:lang w:val="en-US"/>
              </w:rPr>
              <w:t>laboration of innovation development programme</w:t>
            </w:r>
            <w:proofErr w:type="gramStart"/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4CC4055E" w14:textId="021EE3F8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- </w:t>
            </w:r>
            <w:r w:rsidR="002A573D">
              <w:rPr>
                <w:bCs/>
                <w:i/>
                <w:iCs/>
                <w:lang w:val="en-US"/>
              </w:rPr>
              <w:t>“</w:t>
            </w:r>
            <w:r w:rsidR="002A573D" w:rsidRPr="002A573D">
              <w:rPr>
                <w:bCs/>
                <w:i/>
                <w:iCs/>
                <w:lang w:val="en-US"/>
              </w:rPr>
              <w:t>Comprehensive programme of the Company for reducing risks of occupational injuries of employees and third parties at integrated power grid facilities for the period of 2015-2017</w:t>
            </w:r>
            <w:proofErr w:type="gramStart"/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170EBF44" w14:textId="4FD7F3FF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lastRenderedPageBreak/>
              <w:t xml:space="preserve">- </w:t>
            </w:r>
            <w:r w:rsidR="002A573D">
              <w:rPr>
                <w:bCs/>
                <w:i/>
                <w:iCs/>
                <w:lang w:val="en-US"/>
              </w:rPr>
              <w:t>“</w:t>
            </w:r>
            <w:r w:rsidR="002A573D" w:rsidRPr="002A573D">
              <w:rPr>
                <w:bCs/>
                <w:i/>
                <w:iCs/>
                <w:lang w:val="en-US"/>
              </w:rPr>
              <w:t>Decrease in specific investment costs by 30 percent compared with the level of 2012</w:t>
            </w:r>
            <w:proofErr w:type="gramStart"/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2BCC5E8F" w14:textId="2C60BC0D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- </w:t>
            </w:r>
            <w:r w:rsidR="002A573D">
              <w:rPr>
                <w:bCs/>
                <w:i/>
                <w:iCs/>
                <w:lang w:val="en-US"/>
              </w:rPr>
              <w:t>“</w:t>
            </w:r>
            <w:r w:rsidR="002A573D" w:rsidRPr="002A573D">
              <w:rPr>
                <w:bCs/>
                <w:i/>
                <w:iCs/>
                <w:lang w:val="en-US"/>
              </w:rPr>
              <w:t>Decrease in operating costs by 15 percent by 2017 adjusted for inflation compared with the level of 2012 per unit of maintenance of electrically-powered equipment</w:t>
            </w:r>
            <w:proofErr w:type="gramStart"/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5A545908" w14:textId="75F6D6F4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- </w:t>
            </w:r>
            <w:r w:rsidR="002A573D">
              <w:rPr>
                <w:bCs/>
                <w:i/>
                <w:iCs/>
                <w:lang w:val="en-US"/>
              </w:rPr>
              <w:t>“</w:t>
            </w:r>
            <w:r w:rsidR="002A573D" w:rsidRPr="002A573D">
              <w:rPr>
                <w:bCs/>
                <w:i/>
                <w:iCs/>
                <w:lang w:val="en-US"/>
              </w:rPr>
              <w:t>Measures to centralize and automatize the treasury function</w:t>
            </w:r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.</w:t>
            </w:r>
          </w:p>
          <w:p w14:paraId="70E873E0" w14:textId="45EDFF71" w:rsidR="003510CE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 xml:space="preserve">2.2. </w:t>
            </w:r>
            <w:r w:rsidR="002A573D">
              <w:rPr>
                <w:bCs/>
                <w:i/>
                <w:iCs/>
                <w:lang w:val="en-US"/>
              </w:rPr>
              <w:t>“</w:t>
            </w:r>
            <w:r w:rsidR="002A573D" w:rsidRPr="002A573D">
              <w:rPr>
                <w:bCs/>
                <w:i/>
                <w:iCs/>
                <w:lang w:val="en-US"/>
              </w:rPr>
              <w:t>Certification of equipment, materials and systems at the Company's facilities" as executed at the level of PJSC Rosseti</w:t>
            </w:r>
            <w:r w:rsidR="002A573D">
              <w:rPr>
                <w:bCs/>
                <w:i/>
                <w:iCs/>
                <w:lang w:val="en-US"/>
              </w:rPr>
              <w:t>”</w:t>
            </w:r>
            <w:r w:rsidRPr="002A573D">
              <w:rPr>
                <w:bCs/>
                <w:i/>
                <w:iCs/>
                <w:lang w:val="en-US"/>
              </w:rPr>
              <w:t>.</w:t>
            </w:r>
          </w:p>
          <w:p w14:paraId="20B24EC4" w14:textId="6B32A82E" w:rsidR="005C6F2C" w:rsidRPr="002A573D" w:rsidRDefault="003510CE" w:rsidP="003510CE">
            <w:pPr>
              <w:widowControl w:val="0"/>
              <w:autoSpaceDE/>
              <w:autoSpaceDN/>
              <w:jc w:val="both"/>
              <w:rPr>
                <w:bCs/>
                <w:iCs/>
                <w:lang w:val="en-US"/>
              </w:rPr>
            </w:pPr>
            <w:r w:rsidRPr="002A573D">
              <w:rPr>
                <w:bCs/>
                <w:i/>
                <w:iCs/>
                <w:lang w:val="en-US"/>
              </w:rPr>
              <w:t>3.</w:t>
            </w:r>
            <w:r w:rsidRPr="002A573D">
              <w:rPr>
                <w:bCs/>
                <w:i/>
                <w:iCs/>
                <w:lang w:val="en-US"/>
              </w:rPr>
              <w:tab/>
            </w:r>
            <w:r w:rsidR="002A573D" w:rsidRPr="002A573D">
              <w:rPr>
                <w:bCs/>
                <w:i/>
                <w:iCs/>
                <w:lang w:val="en-US"/>
              </w:rPr>
              <w:t>To define the “Innovation development” with execution control of ongoing Innovation Development Program of PJSC Rosseti as the priority area of the Company's activity</w:t>
            </w:r>
            <w:r w:rsidRPr="002A573D">
              <w:rPr>
                <w:bCs/>
                <w:i/>
                <w:iCs/>
                <w:lang w:val="en-US"/>
              </w:rPr>
              <w:t>.</w:t>
            </w:r>
          </w:p>
        </w:tc>
      </w:tr>
      <w:tr w:rsidR="005C6F2C" w:rsidRPr="00BB538B" w14:paraId="6BC9B5ED" w14:textId="77777777" w:rsidTr="005C6F2C">
        <w:tc>
          <w:tcPr>
            <w:tcW w:w="10206" w:type="dxa"/>
            <w:gridSpan w:val="2"/>
          </w:tcPr>
          <w:p w14:paraId="30B389FD" w14:textId="77777777" w:rsidR="00AF25B8" w:rsidRDefault="00AF25B8" w:rsidP="00AF25B8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AF25B8">
              <w:rPr>
                <w:rFonts w:eastAsiaTheme="minorHAnsi"/>
                <w:b/>
                <w:lang w:eastAsia="en-US"/>
              </w:rPr>
              <w:lastRenderedPageBreak/>
              <w:t>Disclosure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of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insider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information</w:t>
            </w:r>
            <w:proofErr w:type="spellEnd"/>
          </w:p>
          <w:p w14:paraId="10CB8C15" w14:textId="3FE2E21E" w:rsidR="005C6F2C" w:rsidRPr="00BB538B" w:rsidRDefault="00BB538B" w:rsidP="005C6F2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Item No. </w:t>
            </w:r>
            <w:r w:rsidR="005C6F2C" w:rsidRPr="00BB538B">
              <w:rPr>
                <w:b/>
                <w:lang w:val="en-US"/>
              </w:rPr>
              <w:t xml:space="preserve">3 </w:t>
            </w:r>
            <w:r>
              <w:rPr>
                <w:b/>
                <w:lang w:val="en-US"/>
              </w:rPr>
              <w:t>“</w:t>
            </w:r>
            <w:r w:rsidRPr="00BB538B">
              <w:rPr>
                <w:b/>
                <w:lang w:val="en-US"/>
              </w:rPr>
              <w:t>On consideration of the report concerning the performance of the Company’s investment projects included in the list of high interest objects of PJSC Rosseti Kuban for the fourth quarter of 2020</w:t>
            </w:r>
            <w:r>
              <w:rPr>
                <w:b/>
                <w:lang w:val="en-US"/>
              </w:rPr>
              <w:t>”</w:t>
            </w:r>
            <w:r w:rsidR="005C6F2C" w:rsidRPr="00BB538B">
              <w:rPr>
                <w:b/>
                <w:bCs/>
                <w:lang w:val="en-US"/>
              </w:rPr>
              <w:t>.</w:t>
            </w:r>
          </w:p>
        </w:tc>
      </w:tr>
      <w:tr w:rsidR="005C6F2C" w:rsidRPr="001D495A" w14:paraId="5B23A32C" w14:textId="77777777" w:rsidTr="005C6F2C">
        <w:trPr>
          <w:trHeight w:val="416"/>
        </w:trPr>
        <w:tc>
          <w:tcPr>
            <w:tcW w:w="10206" w:type="dxa"/>
            <w:gridSpan w:val="2"/>
          </w:tcPr>
          <w:p w14:paraId="34553D0F" w14:textId="4AD26EDA" w:rsidR="005C6F2C" w:rsidRPr="00AF25B8" w:rsidRDefault="005C6F2C" w:rsidP="008D316F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>2.2.</w:t>
            </w:r>
            <w:r>
              <w:t>3</w:t>
            </w:r>
            <w:r w:rsidRPr="001D495A">
              <w:t xml:space="preserve">. </w:t>
            </w:r>
            <w:r w:rsidR="00AF25B8" w:rsidRPr="00AF25B8">
              <w:rPr>
                <w:lang w:val="en-US"/>
              </w:rPr>
              <w:t>Content of resolutions passed by the Issuers’ Board of Directors</w:t>
            </w:r>
            <w:r w:rsidRPr="00AF25B8">
              <w:rPr>
                <w:lang w:val="en-US"/>
              </w:rPr>
              <w:t>:</w:t>
            </w:r>
          </w:p>
          <w:p w14:paraId="1D8051AE" w14:textId="715D9460" w:rsidR="00BB538B" w:rsidRPr="000E64BE" w:rsidRDefault="005C6F2C" w:rsidP="00BB538B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BB538B">
              <w:rPr>
                <w:bCs/>
                <w:i/>
                <w:iCs/>
                <w:lang w:val="en-US"/>
              </w:rPr>
              <w:t>1</w:t>
            </w:r>
            <w:r w:rsidR="003510CE" w:rsidRPr="00BB538B">
              <w:rPr>
                <w:bCs/>
                <w:i/>
                <w:iCs/>
                <w:lang w:val="en-US"/>
              </w:rPr>
              <w:t xml:space="preserve">. </w:t>
            </w:r>
            <w:r w:rsidR="00BB538B">
              <w:rPr>
                <w:bCs/>
                <w:i/>
                <w:iCs/>
                <w:lang w:val="en-US"/>
              </w:rPr>
              <w:t>Take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 </w:t>
            </w:r>
            <w:r w:rsidR="00BB538B">
              <w:rPr>
                <w:bCs/>
                <w:i/>
                <w:iCs/>
                <w:lang w:val="en-US"/>
              </w:rPr>
              <w:t>into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 </w:t>
            </w:r>
            <w:r w:rsidR="00BB538B">
              <w:rPr>
                <w:bCs/>
                <w:i/>
                <w:iCs/>
                <w:lang w:val="en-US"/>
              </w:rPr>
              <w:t xml:space="preserve">consideration the report </w:t>
            </w:r>
            <w:r w:rsidR="00BB538B" w:rsidRPr="00BB538B">
              <w:rPr>
                <w:bCs/>
                <w:i/>
                <w:iCs/>
                <w:lang w:val="en-US"/>
              </w:rPr>
              <w:t>concerning the performance of the Company’s investment projects included in the list of high interest objects of PJSC Rosseti Kuban for the fourth quarter of 2020</w:t>
            </w:r>
            <w:r w:rsidR="00BB538B">
              <w:rPr>
                <w:bCs/>
                <w:i/>
                <w:iCs/>
                <w:lang w:val="en-US"/>
              </w:rPr>
              <w:t xml:space="preserve"> </w:t>
            </w:r>
            <w:r w:rsidR="00BB538B">
              <w:rPr>
                <w:i/>
                <w:iCs/>
                <w:lang w:val="en-US"/>
              </w:rPr>
              <w:t xml:space="preserve">in accordance with Appendix No. </w:t>
            </w:r>
            <w:r w:rsidR="00BB538B">
              <w:rPr>
                <w:i/>
                <w:iCs/>
                <w:lang w:val="en-US"/>
              </w:rPr>
              <w:t>4</w:t>
            </w:r>
            <w:r w:rsidR="00BB538B">
              <w:rPr>
                <w:bCs/>
                <w:i/>
                <w:iCs/>
                <w:lang w:val="en-US"/>
              </w:rPr>
              <w:t xml:space="preserve"> </w:t>
            </w:r>
            <w:r w:rsidR="00BB538B" w:rsidRPr="00E5040B">
              <w:rPr>
                <w:bCs/>
                <w:i/>
                <w:iCs/>
                <w:lang w:val="en-US"/>
              </w:rPr>
              <w:t>to the present resolution of the Company’s Board of Directors</w:t>
            </w:r>
            <w:r w:rsidR="00BB538B">
              <w:rPr>
                <w:bCs/>
                <w:i/>
                <w:iCs/>
                <w:lang w:val="en-US"/>
              </w:rPr>
              <w:t>.</w:t>
            </w:r>
          </w:p>
          <w:p w14:paraId="22E8A614" w14:textId="70A28885" w:rsidR="00BB538B" w:rsidRPr="00BB538B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BB538B">
              <w:rPr>
                <w:bCs/>
                <w:i/>
                <w:iCs/>
                <w:lang w:val="en-US"/>
              </w:rPr>
              <w:t xml:space="preserve">2.  </w:t>
            </w:r>
            <w:r w:rsidR="00BB538B">
              <w:rPr>
                <w:bCs/>
                <w:i/>
                <w:iCs/>
                <w:lang w:val="en-US"/>
              </w:rPr>
              <w:t xml:space="preserve">It is necessary to notice the information 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in accordance with Appendix No. </w:t>
            </w:r>
            <w:r w:rsidR="00BB538B">
              <w:rPr>
                <w:bCs/>
                <w:i/>
                <w:iCs/>
                <w:lang w:val="en-US"/>
              </w:rPr>
              <w:t>5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 to the present resolution of the Company’s Board of Directors.</w:t>
            </w:r>
          </w:p>
          <w:p w14:paraId="37EEB1B1" w14:textId="7725F526" w:rsidR="005C6F2C" w:rsidRPr="00BB538B" w:rsidRDefault="003510C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BB538B">
              <w:rPr>
                <w:bCs/>
                <w:i/>
                <w:iCs/>
                <w:lang w:val="en-US"/>
              </w:rPr>
              <w:t xml:space="preserve">3. 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To assign the chief executive officer of PJSC </w:t>
            </w:r>
            <w:r w:rsidR="00BB538B">
              <w:rPr>
                <w:bCs/>
                <w:i/>
                <w:iCs/>
                <w:lang w:val="en-US"/>
              </w:rPr>
              <w:t>Rosseti Kuban</w:t>
            </w:r>
            <w:r w:rsidR="00BB538B" w:rsidRPr="00BB538B">
              <w:rPr>
                <w:bCs/>
                <w:i/>
                <w:iCs/>
                <w:lang w:val="en-US"/>
              </w:rPr>
              <w:t xml:space="preserve"> to enhance monitoring and provide the elimination of admitted delays in the control stages of master schedules and network schedules of high interest investment projects in the first quarter (Q1) 202</w:t>
            </w:r>
            <w:r w:rsidR="00BB538B">
              <w:rPr>
                <w:bCs/>
                <w:i/>
                <w:iCs/>
                <w:lang w:val="en-US"/>
              </w:rPr>
              <w:t>1.</w:t>
            </w:r>
          </w:p>
        </w:tc>
      </w:tr>
      <w:tr w:rsidR="005C6F2C" w:rsidRPr="00BB538B" w14:paraId="2B2A1257" w14:textId="77777777" w:rsidTr="005C6F2C">
        <w:tc>
          <w:tcPr>
            <w:tcW w:w="10206" w:type="dxa"/>
            <w:gridSpan w:val="2"/>
          </w:tcPr>
          <w:p w14:paraId="435E0D24" w14:textId="77777777" w:rsidR="00AF25B8" w:rsidRDefault="00AF25B8" w:rsidP="00AF25B8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AF25B8">
              <w:rPr>
                <w:rFonts w:eastAsiaTheme="minorHAnsi"/>
                <w:b/>
                <w:lang w:eastAsia="en-US"/>
              </w:rPr>
              <w:t>Disclosure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of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insider</w:t>
            </w:r>
            <w:proofErr w:type="spellEnd"/>
            <w:r w:rsidRPr="00AF25B8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AF25B8">
              <w:rPr>
                <w:rFonts w:eastAsiaTheme="minorHAnsi"/>
                <w:b/>
                <w:lang w:eastAsia="en-US"/>
              </w:rPr>
              <w:t>information</w:t>
            </w:r>
            <w:proofErr w:type="spellEnd"/>
          </w:p>
          <w:p w14:paraId="52F20EAE" w14:textId="0B8503D9" w:rsidR="005C6F2C" w:rsidRPr="00BB538B" w:rsidRDefault="00BB538B" w:rsidP="005C6F2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BB538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BB538B">
              <w:rPr>
                <w:b/>
                <w:lang w:val="en-US"/>
              </w:rPr>
              <w:t xml:space="preserve">. </w:t>
            </w:r>
            <w:r w:rsidR="005C6F2C" w:rsidRPr="00BB538B">
              <w:rPr>
                <w:b/>
                <w:lang w:val="en-US"/>
              </w:rPr>
              <w:t xml:space="preserve">4 </w:t>
            </w:r>
            <w:r>
              <w:rPr>
                <w:b/>
                <w:lang w:val="en-US"/>
              </w:rPr>
              <w:t>“</w:t>
            </w:r>
            <w:r w:rsidRPr="00BB538B">
              <w:rPr>
                <w:b/>
                <w:lang w:val="en-US"/>
              </w:rPr>
              <w:t>On consideration of information of the CEO of the Company on indices of reliability level and quality of services provided to the Company subject to tariff regulation based on long-term regulation characteristics of the activity for 2020</w:t>
            </w:r>
            <w:r>
              <w:rPr>
                <w:b/>
                <w:lang w:val="en-US"/>
              </w:rPr>
              <w:t>”</w:t>
            </w:r>
            <w:r w:rsidR="003510CE" w:rsidRPr="00BB538B">
              <w:rPr>
                <w:b/>
                <w:lang w:val="en-US"/>
              </w:rPr>
              <w:t>.</w:t>
            </w:r>
          </w:p>
        </w:tc>
      </w:tr>
      <w:tr w:rsidR="005C6F2C" w:rsidRPr="001D495A" w14:paraId="28FDA57E" w14:textId="77777777" w:rsidTr="005C6F2C">
        <w:trPr>
          <w:trHeight w:val="416"/>
        </w:trPr>
        <w:tc>
          <w:tcPr>
            <w:tcW w:w="10206" w:type="dxa"/>
            <w:gridSpan w:val="2"/>
          </w:tcPr>
          <w:p w14:paraId="080E4C7B" w14:textId="3993AC21" w:rsidR="005C6F2C" w:rsidRDefault="005C6F2C" w:rsidP="008D316F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>2.2.</w:t>
            </w:r>
            <w:r>
              <w:t>4</w:t>
            </w:r>
            <w:r w:rsidRPr="001D495A">
              <w:t xml:space="preserve">. </w:t>
            </w:r>
            <w:r w:rsidR="00AF25B8" w:rsidRPr="00AF25B8">
              <w:rPr>
                <w:lang w:val="en-US"/>
              </w:rPr>
              <w:t>Content of resolutions passed by the Issuers’ Board of Directors</w:t>
            </w:r>
            <w:r w:rsidRPr="00AF25B8">
              <w:rPr>
                <w:lang w:val="en-US"/>
              </w:rPr>
              <w:t>:</w:t>
            </w:r>
          </w:p>
          <w:p w14:paraId="2798B8FE" w14:textId="7282EEF2" w:rsidR="005C6F2C" w:rsidRPr="00BB538B" w:rsidRDefault="00BB538B" w:rsidP="005C6F2C">
            <w:pPr>
              <w:widowControl w:val="0"/>
              <w:autoSpaceDE/>
              <w:autoSpaceDN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Take into consideration the information </w:t>
            </w:r>
            <w:r w:rsidRPr="00BB538B">
              <w:rPr>
                <w:i/>
                <w:iCs/>
                <w:lang w:val="en-US"/>
              </w:rPr>
              <w:t>of the Company on indices of reliability level and quality of services provided to the Company subject to tariff regulation based on long-term regulation characteristics of the activity for 2020</w:t>
            </w:r>
            <w:r>
              <w:rPr>
                <w:i/>
                <w:iCs/>
                <w:lang w:val="en-US"/>
              </w:rPr>
              <w:t xml:space="preserve"> (</w:t>
            </w:r>
            <w:r w:rsidRPr="00BB538B">
              <w:rPr>
                <w:i/>
                <w:iCs/>
                <w:lang w:val="en-US"/>
              </w:rPr>
              <w:t>the settlement period of tariff regulation</w:t>
            </w:r>
            <w:r>
              <w:rPr>
                <w:i/>
                <w:iCs/>
                <w:lang w:val="en-US"/>
              </w:rPr>
              <w:t xml:space="preserve">) </w:t>
            </w:r>
            <w:r w:rsidRPr="00BB538B">
              <w:rPr>
                <w:i/>
                <w:iCs/>
                <w:lang w:val="en-US"/>
              </w:rPr>
              <w:t xml:space="preserve">in accordance with Appendix No. </w:t>
            </w:r>
            <w:r>
              <w:rPr>
                <w:i/>
                <w:iCs/>
                <w:lang w:val="en-US"/>
              </w:rPr>
              <w:t>6</w:t>
            </w:r>
            <w:r w:rsidRPr="00BB538B">
              <w:rPr>
                <w:i/>
                <w:iCs/>
                <w:lang w:val="en-US"/>
              </w:rPr>
              <w:t xml:space="preserve"> to the present resolution of the Company’s Board of Directors.</w:t>
            </w:r>
          </w:p>
        </w:tc>
      </w:tr>
      <w:tr w:rsidR="003C651F" w:rsidRPr="00AF25B8" w14:paraId="50D000B6" w14:textId="77777777" w:rsidTr="005C6F2C">
        <w:tc>
          <w:tcPr>
            <w:tcW w:w="10206" w:type="dxa"/>
            <w:gridSpan w:val="2"/>
            <w:shd w:val="clear" w:color="auto" w:fill="auto"/>
          </w:tcPr>
          <w:p w14:paraId="25C2959D" w14:textId="6A28C829" w:rsidR="003C651F" w:rsidRPr="00AF25B8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AF25B8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B5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March 30, </w:t>
            </w:r>
            <w:proofErr w:type="gramStart"/>
            <w:r w:rsidR="002876FD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E51DD7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</w:p>
          <w:p w14:paraId="34F25C69" w14:textId="66A2E9C6" w:rsidR="003C651F" w:rsidRPr="00AF25B8" w:rsidRDefault="003C651F" w:rsidP="00351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AF25B8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 2,</w:t>
            </w:r>
            <w:r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  <w:r w:rsidR="002876FD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Minutes No. </w:t>
            </w:r>
            <w:r w:rsidR="006A76EF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46BC0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10CE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F2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1D495A" w14:paraId="6EF41F97" w14:textId="77777777" w:rsidTr="005C6F2C">
        <w:tc>
          <w:tcPr>
            <w:tcW w:w="10206" w:type="dxa"/>
            <w:gridSpan w:val="2"/>
          </w:tcPr>
          <w:p w14:paraId="56B8146B" w14:textId="2C2E860E" w:rsidR="003C651F" w:rsidRPr="00AF25B8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AF25B8" w14:paraId="28C50571" w14:textId="77777777" w:rsidTr="005C6F2C">
        <w:trPr>
          <w:trHeight w:val="1357"/>
        </w:trPr>
        <w:tc>
          <w:tcPr>
            <w:tcW w:w="10206" w:type="dxa"/>
            <w:gridSpan w:val="2"/>
          </w:tcPr>
          <w:p w14:paraId="37C4043C" w14:textId="774EF49A" w:rsidR="003C651F" w:rsidRPr="00AF25B8" w:rsidRDefault="003C651F" w:rsidP="00EE6568">
            <w:pPr>
              <w:rPr>
                <w:rFonts w:eastAsia="Calibri"/>
                <w:lang w:val="en-US"/>
              </w:rPr>
            </w:pPr>
            <w:r w:rsidRPr="00BB538B">
              <w:rPr>
                <w:lang w:val="en-US"/>
              </w:rPr>
              <w:t>3.1.</w:t>
            </w:r>
            <w:r w:rsidR="0001051D" w:rsidRPr="00BB538B">
              <w:rPr>
                <w:lang w:val="en-US"/>
              </w:rPr>
              <w:t xml:space="preserve"> </w:t>
            </w:r>
            <w:r w:rsidR="00BB538B" w:rsidRPr="00BB538B">
              <w:rPr>
                <w:lang w:val="en-US"/>
              </w:rPr>
              <w:t xml:space="preserve">Head of Corporate Support Department                          </w:t>
            </w:r>
            <w:r w:rsidRPr="00BB538B">
              <w:rPr>
                <w:rFonts w:eastAsia="Calibri"/>
                <w:lang w:val="en-US"/>
              </w:rPr>
              <w:t xml:space="preserve">____________________ </w:t>
            </w:r>
            <w:r w:rsidR="005B0335">
              <w:rPr>
                <w:rFonts w:eastAsia="Calibri"/>
              </w:rPr>
              <w:t>Е</w:t>
            </w:r>
            <w:r w:rsidR="005B0335" w:rsidRPr="00BB538B">
              <w:rPr>
                <w:rFonts w:eastAsia="Calibri"/>
                <w:lang w:val="en-US"/>
              </w:rPr>
              <w:t>.</w:t>
            </w:r>
            <w:r w:rsidR="005B0335">
              <w:rPr>
                <w:rFonts w:eastAsia="Calibri"/>
              </w:rPr>
              <w:t>Е</w:t>
            </w:r>
            <w:r w:rsidR="005B0335" w:rsidRPr="00BB538B">
              <w:rPr>
                <w:rFonts w:eastAsia="Calibri"/>
                <w:lang w:val="en-US"/>
              </w:rPr>
              <w:t xml:space="preserve">. </w:t>
            </w:r>
            <w:proofErr w:type="spellStart"/>
            <w:r w:rsidR="00AF25B8">
              <w:rPr>
                <w:rFonts w:eastAsia="Calibri"/>
                <w:lang w:val="en-US"/>
              </w:rPr>
              <w:t>Didenko</w:t>
            </w:r>
            <w:proofErr w:type="spellEnd"/>
          </w:p>
          <w:p w14:paraId="75E349C2" w14:textId="584095DD" w:rsidR="003C651F" w:rsidRPr="00AF25B8" w:rsidRDefault="003C651F" w:rsidP="00EE6568">
            <w:pPr>
              <w:rPr>
                <w:rFonts w:eastAsia="Calibri"/>
                <w:lang w:val="en-US" w:eastAsia="en-US"/>
              </w:rPr>
            </w:pPr>
            <w:r w:rsidRPr="001C764B">
              <w:rPr>
                <w:rFonts w:eastAsia="Calibri"/>
                <w:lang w:val="en-US"/>
              </w:rPr>
              <w:t>(</w:t>
            </w:r>
            <w:r w:rsidR="001C764B" w:rsidRPr="001C764B">
              <w:rPr>
                <w:rFonts w:eastAsia="Calibri"/>
                <w:lang w:val="en-US"/>
              </w:rPr>
              <w:t>per procuration No. 23/256-</w:t>
            </w:r>
            <w:r w:rsidR="001C764B" w:rsidRPr="001C764B">
              <w:rPr>
                <w:rFonts w:eastAsia="Calibri"/>
              </w:rPr>
              <w:t>н</w:t>
            </w:r>
            <w:r w:rsidR="001C764B" w:rsidRPr="001C764B">
              <w:rPr>
                <w:rFonts w:eastAsia="Calibri"/>
                <w:lang w:val="en-US"/>
              </w:rPr>
              <w:t>/23-2021-2-253 of February 16, 2021</w:t>
            </w:r>
            <w:r w:rsidRPr="00AF25B8">
              <w:rPr>
                <w:rFonts w:eastAsia="Calibri"/>
                <w:lang w:val="en-US"/>
              </w:rPr>
              <w:t xml:space="preserve">)  </w:t>
            </w:r>
            <w:proofErr w:type="gramStart"/>
            <w:r w:rsidRPr="00AF25B8">
              <w:rPr>
                <w:rFonts w:eastAsia="Calibri"/>
                <w:lang w:val="en-US"/>
              </w:rPr>
              <w:t xml:space="preserve">   (</w:t>
            </w:r>
            <w:proofErr w:type="gramEnd"/>
            <w:r w:rsidR="00AF25B8">
              <w:rPr>
                <w:rFonts w:eastAsia="Calibri"/>
                <w:lang w:val="en-US"/>
              </w:rPr>
              <w:t>signature</w:t>
            </w:r>
            <w:r w:rsidRPr="00AF25B8">
              <w:rPr>
                <w:rFonts w:eastAsia="Calibri"/>
                <w:lang w:val="en-US"/>
              </w:rPr>
              <w:t xml:space="preserve">)                  </w:t>
            </w:r>
            <w:r w:rsidRPr="00AF25B8">
              <w:rPr>
                <w:rFonts w:eastAsia="Calibri"/>
                <w:lang w:val="en-US" w:eastAsia="en-US"/>
              </w:rPr>
              <w:t xml:space="preserve">                </w:t>
            </w:r>
            <w:r w:rsidRPr="00AF25B8">
              <w:rPr>
                <w:rFonts w:eastAsia="Calibri"/>
                <w:lang w:val="en-US"/>
              </w:rPr>
              <w:t xml:space="preserve">                                 </w:t>
            </w:r>
            <w:r w:rsidRPr="00AF25B8">
              <w:rPr>
                <w:rFonts w:eastAsia="Calibri"/>
                <w:lang w:val="en-US" w:eastAsia="en-US"/>
              </w:rPr>
              <w:t xml:space="preserve">                </w:t>
            </w:r>
          </w:p>
          <w:p w14:paraId="2B91A11F" w14:textId="77777777" w:rsidR="003C651F" w:rsidRPr="00AF25B8" w:rsidRDefault="003C651F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DEEFAB" w14:textId="77777777" w:rsidR="0001051D" w:rsidRPr="00AF25B8" w:rsidRDefault="0001051D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9D1895" w14:textId="13A102D2" w:rsidR="003C651F" w:rsidRPr="00AF25B8" w:rsidRDefault="003C651F" w:rsidP="003510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3510CE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174BA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1708F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6B03"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AF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296E7673" w14:textId="77777777" w:rsidR="0045226D" w:rsidRPr="00AF25B8" w:rsidRDefault="0045226D" w:rsidP="003510CE">
      <w:pPr>
        <w:jc w:val="center"/>
        <w:rPr>
          <w:lang w:val="en-US"/>
        </w:rPr>
      </w:pPr>
    </w:p>
    <w:sectPr w:rsidR="0045226D" w:rsidRPr="00AF25B8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DAD1" w14:textId="77777777" w:rsidR="00F47D95" w:rsidRDefault="00F47D95" w:rsidP="00C5099C">
      <w:r>
        <w:separator/>
      </w:r>
    </w:p>
  </w:endnote>
  <w:endnote w:type="continuationSeparator" w:id="0">
    <w:p w14:paraId="43C4DF0D" w14:textId="77777777" w:rsidR="00F47D95" w:rsidRDefault="00F47D95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5B91" w14:textId="77777777" w:rsidR="00F47D95" w:rsidRDefault="00F47D95" w:rsidP="00C5099C">
      <w:r>
        <w:separator/>
      </w:r>
    </w:p>
  </w:footnote>
  <w:footnote w:type="continuationSeparator" w:id="0">
    <w:p w14:paraId="23889991" w14:textId="77777777" w:rsidR="00F47D95" w:rsidRDefault="00F47D95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1DFB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E64B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C764B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45DD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573D"/>
    <w:rsid w:val="002A74CF"/>
    <w:rsid w:val="002A7A26"/>
    <w:rsid w:val="002B588E"/>
    <w:rsid w:val="002B73FD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17E3E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4B7B"/>
    <w:rsid w:val="0089796E"/>
    <w:rsid w:val="008A3DD3"/>
    <w:rsid w:val="008A572C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022F"/>
    <w:rsid w:val="00AF25B8"/>
    <w:rsid w:val="00AF5565"/>
    <w:rsid w:val="00AF55F4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B538B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B7480"/>
    <w:rsid w:val="00DB75D9"/>
    <w:rsid w:val="00DD4D24"/>
    <w:rsid w:val="00DD7F1C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472C"/>
    <w:rsid w:val="00E24BFE"/>
    <w:rsid w:val="00E33922"/>
    <w:rsid w:val="00E339CF"/>
    <w:rsid w:val="00E36F2C"/>
    <w:rsid w:val="00E43BD3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47D95"/>
    <w:rsid w:val="00F62151"/>
    <w:rsid w:val="00F6573B"/>
    <w:rsid w:val="00F66A85"/>
    <w:rsid w:val="00F70266"/>
    <w:rsid w:val="00F7224E"/>
    <w:rsid w:val="00F8391D"/>
    <w:rsid w:val="00F906CE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9E6B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5DFC-A842-49B0-AB1C-B2A4FDE0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2021-01-11T06:35:00Z</cp:lastPrinted>
  <dcterms:created xsi:type="dcterms:W3CDTF">2021-05-31T20:38:00Z</dcterms:created>
  <dcterms:modified xsi:type="dcterms:W3CDTF">2021-05-31T21:31:00Z</dcterms:modified>
</cp:coreProperties>
</file>