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8165" w14:textId="031FC91B" w:rsidR="006D4301" w:rsidRPr="007F1018"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38468C23" wp14:editId="057AFC5A">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7F1018" w:rsidRPr="007F1018">
        <w:rPr>
          <w:noProof/>
          <w:lang w:val="en-US"/>
        </w:rPr>
        <w:t xml:space="preserve">Minutes of the Meeting of the Board of Directors No. </w:t>
      </w:r>
      <w:r w:rsidR="00206062" w:rsidRPr="007F1018">
        <w:rPr>
          <w:lang w:val="en-US"/>
        </w:rPr>
        <w:t>4</w:t>
      </w:r>
      <w:r w:rsidR="007841AE" w:rsidRPr="007F1018">
        <w:rPr>
          <w:lang w:val="en-US"/>
        </w:rPr>
        <w:t>2</w:t>
      </w:r>
      <w:r w:rsidR="001706EF" w:rsidRPr="007F1018">
        <w:rPr>
          <w:lang w:val="en-US"/>
        </w:rPr>
        <w:t>1</w:t>
      </w:r>
      <w:r w:rsidR="006D4301" w:rsidRPr="007F1018">
        <w:rPr>
          <w:lang w:val="en-US"/>
        </w:rPr>
        <w:t>/20</w:t>
      </w:r>
      <w:r w:rsidR="00FB5400" w:rsidRPr="007F1018">
        <w:rPr>
          <w:lang w:val="en-US"/>
        </w:rPr>
        <w:t>2</w:t>
      </w:r>
      <w:r w:rsidR="00BB35A3" w:rsidRPr="007F1018">
        <w:rPr>
          <w:lang w:val="en-US"/>
        </w:rPr>
        <w:t>1</w:t>
      </w:r>
    </w:p>
    <w:p w14:paraId="472F163B" w14:textId="77777777" w:rsidR="00B03255" w:rsidRPr="00B03255" w:rsidRDefault="00B03255" w:rsidP="00B03255">
      <w:pPr>
        <w:jc w:val="center"/>
        <w:outlineLvl w:val="2"/>
        <w:rPr>
          <w:rFonts w:eastAsia="Calibri"/>
          <w:b/>
          <w:szCs w:val="22"/>
          <w:lang w:val="en-US" w:eastAsia="en-US"/>
        </w:rPr>
      </w:pPr>
      <w:r w:rsidRPr="00B03255">
        <w:rPr>
          <w:rFonts w:eastAsia="Calibri"/>
          <w:b/>
          <w:szCs w:val="22"/>
          <w:lang w:val="en-US" w:eastAsia="en-US"/>
        </w:rPr>
        <w:t xml:space="preserve">of the Public Joint Stock Company  </w:t>
      </w:r>
    </w:p>
    <w:p w14:paraId="7474A860" w14:textId="142255F4" w:rsidR="00B03255" w:rsidRDefault="00B03255" w:rsidP="00B03255">
      <w:pPr>
        <w:widowControl w:val="0"/>
        <w:spacing w:after="120"/>
        <w:jc w:val="center"/>
        <w:outlineLvl w:val="2"/>
        <w:rPr>
          <w:b/>
          <w:bCs/>
          <w:spacing w:val="-2"/>
          <w:lang w:val="en-US"/>
        </w:rPr>
      </w:pPr>
      <w:r w:rsidRPr="00B03255">
        <w:rPr>
          <w:b/>
          <w:bCs/>
          <w:lang w:val="en-US"/>
        </w:rPr>
        <w:t xml:space="preserve"> Rosseti Kuban (PJSC</w:t>
      </w:r>
      <w:r w:rsidRPr="00B03255">
        <w:rPr>
          <w:b/>
          <w:bCs/>
          <w:spacing w:val="-2"/>
          <w:lang w:val="en-US"/>
        </w:rPr>
        <w:t xml:space="preserve"> Rosseti Kuban)</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385"/>
      </w:tblGrid>
      <w:tr w:rsidR="00B03255" w14:paraId="5F00D702" w14:textId="77777777" w:rsidTr="00B03255">
        <w:tc>
          <w:tcPr>
            <w:tcW w:w="4395" w:type="dxa"/>
            <w:tcBorders>
              <w:top w:val="nil"/>
              <w:left w:val="nil"/>
              <w:bottom w:val="nil"/>
              <w:right w:val="nil"/>
            </w:tcBorders>
          </w:tcPr>
          <w:p w14:paraId="11AE31F3" w14:textId="77777777" w:rsidR="00B03255" w:rsidRDefault="00B03255">
            <w:pPr>
              <w:pStyle w:val="32"/>
              <w:widowControl w:val="0"/>
              <w:ind w:right="-108"/>
              <w:rPr>
                <w:b w:val="0"/>
                <w:color w:val="000000"/>
                <w:sz w:val="24"/>
                <w:lang w:val="en-US"/>
              </w:rPr>
            </w:pPr>
          </w:p>
          <w:p w14:paraId="62BF0188" w14:textId="77777777" w:rsidR="00B03255" w:rsidRDefault="00B03255">
            <w:pPr>
              <w:pStyle w:val="32"/>
              <w:widowControl w:val="0"/>
              <w:ind w:right="-108"/>
              <w:rPr>
                <w:b w:val="0"/>
                <w:color w:val="000000"/>
                <w:sz w:val="24"/>
              </w:rPr>
            </w:pPr>
            <w:r>
              <w:rPr>
                <w:b w:val="0"/>
                <w:sz w:val="24"/>
                <w:lang w:val="en-US"/>
              </w:rPr>
              <w:t>Date of Meeting</w:t>
            </w:r>
          </w:p>
        </w:tc>
        <w:tc>
          <w:tcPr>
            <w:tcW w:w="5386" w:type="dxa"/>
            <w:tcBorders>
              <w:top w:val="nil"/>
              <w:left w:val="nil"/>
              <w:bottom w:val="nil"/>
              <w:right w:val="nil"/>
            </w:tcBorders>
          </w:tcPr>
          <w:p w14:paraId="54AA9878" w14:textId="77777777" w:rsidR="00B03255" w:rsidRDefault="00B03255">
            <w:pPr>
              <w:pStyle w:val="32"/>
              <w:widowControl w:val="0"/>
              <w:ind w:left="679"/>
              <w:jc w:val="left"/>
              <w:rPr>
                <w:b w:val="0"/>
                <w:color w:val="000000"/>
                <w:sz w:val="24"/>
              </w:rPr>
            </w:pPr>
          </w:p>
          <w:p w14:paraId="2FA81A2C" w14:textId="27AE6671" w:rsidR="00B03255" w:rsidRDefault="00B03255">
            <w:pPr>
              <w:pStyle w:val="32"/>
              <w:widowControl w:val="0"/>
              <w:ind w:left="679"/>
              <w:jc w:val="left"/>
              <w:rPr>
                <w:b w:val="0"/>
                <w:color w:val="000000"/>
                <w:sz w:val="24"/>
                <w:lang w:val="en-US"/>
              </w:rPr>
            </w:pPr>
            <w:r>
              <w:rPr>
                <w:b w:val="0"/>
                <w:color w:val="000000"/>
                <w:sz w:val="24"/>
                <w:lang w:val="en-US"/>
              </w:rPr>
              <w:t>February 24, 2021</w:t>
            </w:r>
          </w:p>
        </w:tc>
      </w:tr>
      <w:tr w:rsidR="00B03255" w14:paraId="5A1DF40C" w14:textId="77777777" w:rsidTr="00B03255">
        <w:tc>
          <w:tcPr>
            <w:tcW w:w="4395" w:type="dxa"/>
            <w:tcBorders>
              <w:top w:val="nil"/>
              <w:left w:val="nil"/>
              <w:bottom w:val="nil"/>
              <w:right w:val="nil"/>
            </w:tcBorders>
            <w:hideMark/>
          </w:tcPr>
          <w:p w14:paraId="3E455D70" w14:textId="77777777" w:rsidR="00B03255" w:rsidRDefault="00B03255">
            <w:pPr>
              <w:pStyle w:val="32"/>
              <w:widowControl w:val="0"/>
              <w:ind w:right="-108"/>
              <w:rPr>
                <w:b w:val="0"/>
                <w:color w:val="000000"/>
                <w:sz w:val="24"/>
              </w:rPr>
            </w:pPr>
            <w:r>
              <w:rPr>
                <w:b w:val="0"/>
                <w:color w:val="000000"/>
                <w:sz w:val="24"/>
                <w:lang w:val="en-US"/>
              </w:rPr>
              <w:t>Form of Meeting</w:t>
            </w:r>
            <w:r>
              <w:rPr>
                <w:b w:val="0"/>
                <w:color w:val="000000"/>
                <w:sz w:val="24"/>
              </w:rPr>
              <w:t>:</w:t>
            </w:r>
          </w:p>
        </w:tc>
        <w:tc>
          <w:tcPr>
            <w:tcW w:w="5386" w:type="dxa"/>
            <w:tcBorders>
              <w:top w:val="nil"/>
              <w:left w:val="nil"/>
              <w:bottom w:val="nil"/>
              <w:right w:val="nil"/>
            </w:tcBorders>
            <w:hideMark/>
          </w:tcPr>
          <w:p w14:paraId="061E793E" w14:textId="77777777" w:rsidR="00B03255" w:rsidRDefault="00B03255">
            <w:pPr>
              <w:pStyle w:val="32"/>
              <w:widowControl w:val="0"/>
              <w:ind w:left="679"/>
              <w:jc w:val="left"/>
              <w:rPr>
                <w:b w:val="0"/>
                <w:color w:val="000000"/>
                <w:sz w:val="24"/>
                <w:lang w:val="en-US"/>
              </w:rPr>
            </w:pPr>
            <w:r>
              <w:rPr>
                <w:b w:val="0"/>
                <w:sz w:val="24"/>
                <w:lang w:val="en-US"/>
              </w:rPr>
              <w:t>Absentee voting</w:t>
            </w:r>
            <w:r>
              <w:rPr>
                <w:b w:val="0"/>
                <w:spacing w:val="-2"/>
                <w:sz w:val="24"/>
                <w:lang w:val="en-US"/>
              </w:rPr>
              <w:t xml:space="preserve"> (by questionnaire)</w:t>
            </w:r>
          </w:p>
        </w:tc>
      </w:tr>
      <w:tr w:rsidR="00B03255" w:rsidRPr="00B03255" w14:paraId="75C75D70" w14:textId="77777777" w:rsidTr="00B03255">
        <w:tc>
          <w:tcPr>
            <w:tcW w:w="4395" w:type="dxa"/>
            <w:tcBorders>
              <w:top w:val="nil"/>
              <w:left w:val="nil"/>
              <w:bottom w:val="nil"/>
              <w:right w:val="nil"/>
            </w:tcBorders>
            <w:hideMark/>
          </w:tcPr>
          <w:p w14:paraId="4A2856DC" w14:textId="77777777" w:rsidR="00B03255" w:rsidRDefault="00B03255">
            <w:pPr>
              <w:pStyle w:val="32"/>
              <w:widowControl w:val="0"/>
              <w:ind w:right="-108"/>
              <w:rPr>
                <w:b w:val="0"/>
                <w:color w:val="000000"/>
                <w:sz w:val="24"/>
                <w:lang w:val="en-US"/>
              </w:rPr>
            </w:pPr>
            <w:r>
              <w:rPr>
                <w:b w:val="0"/>
                <w:color w:val="000000"/>
                <w:sz w:val="24"/>
                <w:lang w:val="en-US"/>
              </w:rPr>
              <w:t>Location of summing up the voting results:</w:t>
            </w:r>
          </w:p>
        </w:tc>
        <w:tc>
          <w:tcPr>
            <w:tcW w:w="5386" w:type="dxa"/>
            <w:tcBorders>
              <w:top w:val="nil"/>
              <w:left w:val="nil"/>
              <w:bottom w:val="nil"/>
              <w:right w:val="nil"/>
            </w:tcBorders>
            <w:hideMark/>
          </w:tcPr>
          <w:p w14:paraId="08992259" w14:textId="77777777" w:rsidR="00B03255" w:rsidRDefault="00B03255">
            <w:pPr>
              <w:pStyle w:val="32"/>
              <w:widowControl w:val="0"/>
              <w:suppressAutoHyphens/>
              <w:ind w:left="680"/>
              <w:jc w:val="left"/>
              <w:rPr>
                <w:b w:val="0"/>
                <w:color w:val="000000"/>
                <w:sz w:val="24"/>
                <w:lang w:val="en-US"/>
              </w:rPr>
            </w:pPr>
            <w:r>
              <w:rPr>
                <w:b w:val="0"/>
                <w:sz w:val="24"/>
                <w:lang w:val="en-US"/>
              </w:rPr>
              <w:t xml:space="preserve">room 202, building 2, </w:t>
            </w:r>
            <w:r>
              <w:rPr>
                <w:rFonts w:ascii="Times New Roman CYR" w:hAnsi="Times New Roman CYR" w:cs="Times New Roman CYR"/>
                <w:b w:val="0"/>
                <w:bCs w:val="0"/>
                <w:iCs w:val="0"/>
                <w:sz w:val="24"/>
                <w:lang w:val="en-US"/>
              </w:rPr>
              <w:t>2</w:t>
            </w:r>
            <w:r>
              <w:rPr>
                <w:rFonts w:ascii="Times New Roman CYR" w:hAnsi="Times New Roman CYR" w:cs="Times New Roman CYR"/>
                <w:b w:val="0"/>
                <w:bCs w:val="0"/>
                <w:iCs w:val="0"/>
                <w:sz w:val="24"/>
              </w:rPr>
              <w:t>А</w:t>
            </w:r>
            <w:r>
              <w:rPr>
                <w:rFonts w:ascii="Times New Roman CYR" w:hAnsi="Times New Roman CYR" w:cs="Times New Roman CYR"/>
                <w:b w:val="0"/>
                <w:bCs w:val="0"/>
                <w:iCs w:val="0"/>
                <w:sz w:val="24"/>
                <w:lang w:val="en-US"/>
              </w:rPr>
              <w:t xml:space="preserve"> Stavropolskaya Str., Krasnodar (for postage to the Corporate Secretary of PJSC Rosseti Kuban)</w:t>
            </w:r>
          </w:p>
        </w:tc>
      </w:tr>
      <w:tr w:rsidR="00B03255" w14:paraId="4855255A" w14:textId="77777777" w:rsidTr="00B03255">
        <w:tc>
          <w:tcPr>
            <w:tcW w:w="4395" w:type="dxa"/>
            <w:tcBorders>
              <w:top w:val="nil"/>
              <w:left w:val="nil"/>
              <w:bottom w:val="nil"/>
              <w:right w:val="nil"/>
            </w:tcBorders>
            <w:hideMark/>
          </w:tcPr>
          <w:p w14:paraId="7C5878DC" w14:textId="77777777" w:rsidR="00B03255" w:rsidRDefault="00B03255">
            <w:pPr>
              <w:pStyle w:val="32"/>
              <w:widowControl w:val="0"/>
              <w:ind w:right="-108"/>
              <w:rPr>
                <w:b w:val="0"/>
                <w:color w:val="000000"/>
                <w:sz w:val="24"/>
                <w:lang w:val="en-US"/>
              </w:rPr>
            </w:pPr>
            <w:r>
              <w:rPr>
                <w:b w:val="0"/>
                <w:color w:val="000000"/>
                <w:sz w:val="24"/>
                <w:lang w:val="en-US"/>
              </w:rPr>
              <w:t>Date on which the minutes were drawn up:</w:t>
            </w:r>
          </w:p>
        </w:tc>
        <w:tc>
          <w:tcPr>
            <w:tcW w:w="5386" w:type="dxa"/>
            <w:tcBorders>
              <w:top w:val="nil"/>
              <w:left w:val="nil"/>
              <w:bottom w:val="nil"/>
              <w:right w:val="nil"/>
            </w:tcBorders>
            <w:hideMark/>
          </w:tcPr>
          <w:p w14:paraId="692194C4" w14:textId="77777777" w:rsidR="00B03255" w:rsidRDefault="00B03255">
            <w:pPr>
              <w:pStyle w:val="32"/>
              <w:widowControl w:val="0"/>
              <w:ind w:left="679"/>
              <w:jc w:val="left"/>
              <w:rPr>
                <w:b w:val="0"/>
                <w:color w:val="000000"/>
                <w:sz w:val="24"/>
                <w:lang w:val="en-US"/>
              </w:rPr>
            </w:pPr>
            <w:r>
              <w:rPr>
                <w:b w:val="0"/>
                <w:color w:val="000000"/>
                <w:sz w:val="24"/>
                <w:lang w:val="en-US"/>
              </w:rPr>
              <w:t>February 24, 2021</w:t>
            </w:r>
          </w:p>
        </w:tc>
      </w:tr>
    </w:tbl>
    <w:p w14:paraId="0586DB18" w14:textId="77777777" w:rsidR="00B03255" w:rsidRDefault="00B03255" w:rsidP="00B03255">
      <w:pPr>
        <w:widowControl w:val="0"/>
        <w:spacing w:before="240"/>
        <w:jc w:val="both"/>
        <w:rPr>
          <w:rFonts w:eastAsia="Calibri"/>
          <w:szCs w:val="22"/>
          <w:lang w:val="en-US" w:eastAsia="en-US"/>
        </w:rPr>
      </w:pPr>
      <w:r>
        <w:rPr>
          <w:rFonts w:eastAsia="Calibri"/>
          <w:b/>
          <w:szCs w:val="22"/>
          <w:lang w:val="en-US" w:eastAsia="en-US"/>
        </w:rPr>
        <w:t>Members of the Board of Directors:</w:t>
      </w:r>
      <w:r>
        <w:rPr>
          <w:rFonts w:eastAsia="Calibri"/>
          <w:szCs w:val="22"/>
          <w:lang w:val="en-US" w:eastAsia="en-US"/>
        </w:rPr>
        <w:t xml:space="preserve"> 11 persons</w:t>
      </w:r>
    </w:p>
    <w:p w14:paraId="218FE2B1" w14:textId="6941096B" w:rsidR="00B03255" w:rsidRDefault="00B03255" w:rsidP="00B03255">
      <w:pPr>
        <w:widowControl w:val="0"/>
        <w:jc w:val="both"/>
        <w:rPr>
          <w:spacing w:val="-2"/>
          <w:lang w:val="en-US"/>
        </w:rPr>
      </w:pPr>
      <w:r>
        <w:rPr>
          <w:b/>
          <w:spacing w:val="-2"/>
          <w:lang w:val="en-US"/>
        </w:rPr>
        <w:t>Members of the Board of Directors were submitted the checklists</w:t>
      </w:r>
      <w:r>
        <w:rPr>
          <w:spacing w:val="-2"/>
          <w:lang w:val="en-US"/>
        </w:rPr>
        <w:t>: Gavrilov A.I.</w:t>
      </w:r>
      <w:r>
        <w:rPr>
          <w:lang w:val="en-US"/>
        </w:rPr>
        <w:t xml:space="preserve"> (Chairman of the Board of Directors)</w:t>
      </w:r>
      <w:r>
        <w:rPr>
          <w:spacing w:val="-2"/>
          <w:lang w:val="en-US"/>
        </w:rPr>
        <w:t>, Alyushenko I.D., Varvarin A.V., Guryanov D.L., Logatkin A.V., Medvedev M.V., Sergeev S.V., Shagina I.A., Yavorskiy V.K.</w:t>
      </w:r>
    </w:p>
    <w:p w14:paraId="27F851E8" w14:textId="6F6AC4F1" w:rsidR="00B03255" w:rsidRDefault="00B03255" w:rsidP="00B03255">
      <w:pPr>
        <w:widowControl w:val="0"/>
        <w:shd w:val="clear" w:color="auto" w:fill="FFFFFF"/>
        <w:jc w:val="both"/>
        <w:rPr>
          <w:lang w:val="en-US"/>
        </w:rPr>
      </w:pPr>
      <w:r>
        <w:rPr>
          <w:b/>
          <w:spacing w:val="-2"/>
          <w:lang w:val="en-US"/>
        </w:rPr>
        <w:t>Members of the Board of Directors were not submitted the checklists</w:t>
      </w:r>
      <w:r>
        <w:rPr>
          <w:b/>
          <w:lang w:val="en-US"/>
        </w:rPr>
        <w:t>:</w:t>
      </w:r>
      <w:r>
        <w:rPr>
          <w:lang w:val="en-US"/>
        </w:rPr>
        <w:t xml:space="preserve"> Varseev V. V., </w:t>
      </w:r>
      <w:r>
        <w:rPr>
          <w:spacing w:val="-2"/>
          <w:lang w:val="en-US"/>
        </w:rPr>
        <w:t>Terekhov I.A.</w:t>
      </w:r>
    </w:p>
    <w:p w14:paraId="7C6AEE32" w14:textId="77777777" w:rsidR="00B03255" w:rsidRDefault="00B03255" w:rsidP="00B03255">
      <w:pPr>
        <w:widowControl w:val="0"/>
        <w:jc w:val="both"/>
        <w:rPr>
          <w:lang w:val="en-US"/>
        </w:rPr>
      </w:pPr>
      <w:r>
        <w:rPr>
          <w:lang w:val="en-US"/>
        </w:rPr>
        <w:t>In accordance with the Clause 7.3 “Regulations on the Board of Directors of Public Joint Stock Company of Power Industry and Electrification of Kuban” (passed by the decision of the</w:t>
      </w:r>
      <w:r>
        <w:rPr>
          <w:rFonts w:ascii="Calibri" w:eastAsia="Calibri" w:hAnsi="Calibri"/>
          <w:sz w:val="22"/>
          <w:szCs w:val="22"/>
          <w:lang w:val="en-US" w:eastAsia="en-US"/>
        </w:rPr>
        <w:t xml:space="preserve"> </w:t>
      </w:r>
      <w:r>
        <w:rPr>
          <w:lang w:val="en-US"/>
        </w:rPr>
        <w:t xml:space="preserve">Annual General Meeting of Shareholders of PJSC Kubanenergo, Minutes No. 43 of May 29, 2020) at least half of the number of elected members of the Board of Directors of the Company constitutes a quorum for a meeting of the Board of Directors. </w:t>
      </w:r>
    </w:p>
    <w:p w14:paraId="2D40E7DB" w14:textId="77777777" w:rsidR="00B03255" w:rsidRDefault="00B03255" w:rsidP="00B03255">
      <w:pPr>
        <w:widowControl w:val="0"/>
        <w:jc w:val="both"/>
        <w:rPr>
          <w:b/>
          <w:lang w:val="en-US"/>
        </w:rPr>
      </w:pPr>
      <w:r>
        <w:rPr>
          <w:b/>
          <w:lang w:val="en-US"/>
        </w:rPr>
        <w:t>A quorum is present.</w:t>
      </w:r>
    </w:p>
    <w:p w14:paraId="2E0B816B" w14:textId="77777777" w:rsidR="00B03255" w:rsidRDefault="00B03255" w:rsidP="00B03255">
      <w:pPr>
        <w:pStyle w:val="aa"/>
        <w:widowControl w:val="0"/>
        <w:ind w:firstLine="0"/>
        <w:rPr>
          <w:lang w:val="en-US"/>
        </w:rPr>
      </w:pPr>
    </w:p>
    <w:p w14:paraId="044822DF" w14:textId="77777777" w:rsidR="00B03255" w:rsidRPr="00B03255" w:rsidRDefault="00B03255" w:rsidP="00B03255">
      <w:pPr>
        <w:widowControl w:val="0"/>
        <w:spacing w:after="120"/>
        <w:jc w:val="center"/>
        <w:outlineLvl w:val="2"/>
        <w:rPr>
          <w:b/>
          <w:bCs/>
          <w:spacing w:val="-2"/>
          <w:lang w:val="en-US"/>
        </w:rPr>
      </w:pPr>
    </w:p>
    <w:p w14:paraId="7572450D" w14:textId="76E63B74" w:rsidR="00490893" w:rsidRPr="00B03255" w:rsidRDefault="00B03255" w:rsidP="00A327C9">
      <w:pPr>
        <w:pStyle w:val="20"/>
        <w:widowControl w:val="0"/>
        <w:spacing w:before="120"/>
        <w:contextualSpacing/>
        <w:jc w:val="center"/>
        <w:rPr>
          <w:b/>
          <w:bCs/>
          <w:sz w:val="24"/>
          <w:szCs w:val="24"/>
          <w:u w:val="single"/>
          <w:lang w:val="en-US"/>
        </w:rPr>
      </w:pPr>
      <w:r w:rsidRPr="00B03255">
        <w:rPr>
          <w:b/>
          <w:bCs/>
          <w:sz w:val="24"/>
          <w:szCs w:val="24"/>
          <w:u w:val="single"/>
          <w:lang w:val="en-US"/>
        </w:rPr>
        <w:t>Agenda of the meeting of the Board of Directors</w:t>
      </w:r>
      <w:r w:rsidR="00490893" w:rsidRPr="00B03255">
        <w:rPr>
          <w:b/>
          <w:bCs/>
          <w:sz w:val="24"/>
          <w:szCs w:val="24"/>
          <w:u w:val="single"/>
          <w:lang w:val="en-US"/>
        </w:rPr>
        <w:t>:</w:t>
      </w:r>
    </w:p>
    <w:p w14:paraId="5AFFA93C" w14:textId="52A1B8A8" w:rsidR="00B03255" w:rsidRPr="00B03255" w:rsidRDefault="00B03255" w:rsidP="00B03255">
      <w:pPr>
        <w:keepNext/>
        <w:numPr>
          <w:ilvl w:val="0"/>
          <w:numId w:val="29"/>
        </w:numPr>
        <w:tabs>
          <w:tab w:val="left" w:pos="851"/>
        </w:tabs>
        <w:ind w:left="0" w:firstLine="567"/>
        <w:jc w:val="both"/>
        <w:rPr>
          <w:color w:val="000000"/>
          <w:lang w:val="en-US"/>
        </w:rPr>
      </w:pPr>
      <w:bookmarkStart w:id="0" w:name="_Hlk69926583"/>
      <w:r w:rsidRPr="00B03255">
        <w:rPr>
          <w:color w:val="000000"/>
          <w:lang w:val="en-US"/>
        </w:rPr>
        <w:t xml:space="preserve">On the approval of </w:t>
      </w:r>
      <w:r>
        <w:rPr>
          <w:color w:val="000000"/>
          <w:lang w:val="en-US"/>
        </w:rPr>
        <w:t xml:space="preserve">the </w:t>
      </w:r>
      <w:r w:rsidRPr="00B03255">
        <w:rPr>
          <w:color w:val="000000"/>
          <w:lang w:val="en-US"/>
        </w:rPr>
        <w:t xml:space="preserve">amendments to the Investment Programme of PJSC </w:t>
      </w:r>
      <w:r>
        <w:rPr>
          <w:color w:val="000000"/>
          <w:lang w:val="en-US"/>
        </w:rPr>
        <w:t>Rosseti Kuban for the period 2018-2022</w:t>
      </w:r>
      <w:r w:rsidRPr="00B03255">
        <w:rPr>
          <w:color w:val="000000"/>
          <w:lang w:val="en-US"/>
        </w:rPr>
        <w:t>, approved by Order of the Ministry of Energy of the Russian Federation of December 1, 2017 No.21@,</w:t>
      </w:r>
      <w:r w:rsidRPr="00B03255">
        <w:rPr>
          <w:lang w:val="en-US"/>
        </w:rPr>
        <w:t xml:space="preserve"> </w:t>
      </w:r>
      <w:r w:rsidRPr="00B03255">
        <w:rPr>
          <w:color w:val="000000"/>
          <w:lang w:val="en-US"/>
        </w:rPr>
        <w:t>taking into account amendments that have been introduced by the Order of the Ministry of Energy of the Russian Federation of December 2</w:t>
      </w:r>
      <w:r>
        <w:rPr>
          <w:color w:val="000000"/>
          <w:lang w:val="en-US"/>
        </w:rPr>
        <w:t>5</w:t>
      </w:r>
      <w:r w:rsidRPr="00B03255">
        <w:rPr>
          <w:color w:val="000000"/>
          <w:lang w:val="en-US"/>
        </w:rPr>
        <w:t>, 20</w:t>
      </w:r>
      <w:r>
        <w:rPr>
          <w:color w:val="000000"/>
          <w:lang w:val="en-US"/>
        </w:rPr>
        <w:t>20</w:t>
      </w:r>
      <w:r w:rsidRPr="00B03255">
        <w:rPr>
          <w:color w:val="000000"/>
          <w:lang w:val="en-US"/>
        </w:rPr>
        <w:t xml:space="preserve"> No. </w:t>
      </w:r>
      <w:r>
        <w:rPr>
          <w:color w:val="000000"/>
          <w:lang w:val="en-US"/>
        </w:rPr>
        <w:t>23</w:t>
      </w:r>
      <w:r w:rsidRPr="00B03255">
        <w:rPr>
          <w:color w:val="000000"/>
          <w:lang w:val="en-US"/>
        </w:rPr>
        <w:t>@</w:t>
      </w:r>
      <w:r>
        <w:rPr>
          <w:color w:val="000000"/>
          <w:lang w:val="en-US"/>
        </w:rPr>
        <w:t>.</w:t>
      </w:r>
    </w:p>
    <w:bookmarkEnd w:id="0"/>
    <w:p w14:paraId="3298CD5D" w14:textId="77777777" w:rsidR="001706EF" w:rsidRPr="00C56CCC" w:rsidRDefault="001706EF" w:rsidP="001706EF">
      <w:pPr>
        <w:contextualSpacing/>
        <w:jc w:val="both"/>
        <w:rPr>
          <w:b/>
          <w:color w:val="000000"/>
          <w:u w:val="single"/>
        </w:rPr>
      </w:pPr>
    </w:p>
    <w:p w14:paraId="2B0B2C39" w14:textId="3019F47B" w:rsidR="001706EF" w:rsidRPr="00B03255" w:rsidRDefault="00B03255" w:rsidP="001706EF">
      <w:pPr>
        <w:jc w:val="both"/>
        <w:rPr>
          <w:b/>
          <w:lang w:val="en-US"/>
        </w:rPr>
      </w:pPr>
      <w:r>
        <w:rPr>
          <w:b/>
          <w:color w:val="000000"/>
          <w:u w:val="single"/>
          <w:lang w:val="en-US"/>
        </w:rPr>
        <w:t>Item</w:t>
      </w:r>
      <w:r w:rsidRPr="00B03255">
        <w:rPr>
          <w:b/>
          <w:color w:val="000000"/>
          <w:u w:val="single"/>
          <w:lang w:val="en-US"/>
        </w:rPr>
        <w:t xml:space="preserve"> </w:t>
      </w:r>
      <w:r>
        <w:rPr>
          <w:b/>
          <w:color w:val="000000"/>
          <w:u w:val="single"/>
          <w:lang w:val="en-US"/>
        </w:rPr>
        <w:t>No</w:t>
      </w:r>
      <w:r w:rsidRPr="00B03255">
        <w:rPr>
          <w:b/>
          <w:color w:val="000000"/>
          <w:u w:val="single"/>
          <w:lang w:val="en-US"/>
        </w:rPr>
        <w:t>.</w:t>
      </w:r>
      <w:r w:rsidR="00FB00B2" w:rsidRPr="00B03255">
        <w:rPr>
          <w:b/>
          <w:color w:val="000000"/>
          <w:u w:val="single"/>
          <w:lang w:val="en-US"/>
        </w:rPr>
        <w:t xml:space="preserve"> </w:t>
      </w:r>
      <w:r w:rsidR="00A92476" w:rsidRPr="00B03255">
        <w:rPr>
          <w:b/>
          <w:color w:val="000000"/>
          <w:u w:val="single"/>
          <w:lang w:val="en-US"/>
        </w:rPr>
        <w:t>1</w:t>
      </w:r>
      <w:r w:rsidR="00DA5AFB" w:rsidRPr="00B03255">
        <w:rPr>
          <w:b/>
          <w:color w:val="000000"/>
          <w:u w:val="single"/>
          <w:lang w:val="en-US"/>
        </w:rPr>
        <w:t>:</w:t>
      </w:r>
      <w:r w:rsidR="004F1D5B" w:rsidRPr="00B03255">
        <w:rPr>
          <w:lang w:val="en-US"/>
        </w:rPr>
        <w:t xml:space="preserve"> </w:t>
      </w:r>
      <w:r w:rsidRPr="00B03255">
        <w:rPr>
          <w:b/>
          <w:lang w:val="en-US"/>
        </w:rPr>
        <w:t>On the approval of the amendments to the Investment Programme of PJSC Rosseti Kuban for the period 2018-2022, approved by Order of the Ministry of Energy of the Russian Federation of December 1, 2017 No.21@, taking into account amendments that have been introduced by the Order of the Ministry of Energy of the Russian Federation of December 25, 2020 No. 23@.</w:t>
      </w:r>
    </w:p>
    <w:p w14:paraId="66AC4C77" w14:textId="25AF120F" w:rsidR="00FA0AAD" w:rsidRPr="00B03255" w:rsidRDefault="00B03255" w:rsidP="001706EF">
      <w:pPr>
        <w:rPr>
          <w:b/>
          <w:iCs/>
          <w:color w:val="000000"/>
          <w:u w:val="single"/>
          <w:lang w:val="en-US"/>
        </w:rPr>
      </w:pPr>
      <w:r>
        <w:rPr>
          <w:b/>
          <w:iCs/>
          <w:color w:val="000000"/>
          <w:u w:val="single"/>
          <w:lang w:val="en-US"/>
        </w:rPr>
        <w:t>The following solution was offered</w:t>
      </w:r>
      <w:r w:rsidR="00FA0AAD" w:rsidRPr="00B03255">
        <w:rPr>
          <w:b/>
          <w:iCs/>
          <w:color w:val="000000"/>
          <w:u w:val="single"/>
          <w:lang w:val="en-US"/>
        </w:rPr>
        <w:t>:</w:t>
      </w:r>
    </w:p>
    <w:p w14:paraId="7194185B" w14:textId="31763C52" w:rsidR="00B03255" w:rsidRPr="00B03255" w:rsidRDefault="00B03255" w:rsidP="006A2C89">
      <w:pPr>
        <w:pStyle w:val="afff7"/>
        <w:numPr>
          <w:ilvl w:val="0"/>
          <w:numId w:val="30"/>
        </w:numPr>
        <w:tabs>
          <w:tab w:val="left" w:pos="993"/>
        </w:tabs>
        <w:suppressAutoHyphens/>
        <w:ind w:left="0" w:firstLine="709"/>
        <w:jc w:val="both"/>
        <w:rPr>
          <w:i/>
          <w:lang w:val="en-US"/>
        </w:rPr>
      </w:pPr>
      <w:r>
        <w:rPr>
          <w:i/>
          <w:lang w:val="en-US"/>
        </w:rPr>
        <w:t>To approve the draft</w:t>
      </w:r>
      <w:r w:rsidR="006A2C89" w:rsidRPr="006A2C89">
        <w:rPr>
          <w:lang w:val="en-US"/>
        </w:rPr>
        <w:t xml:space="preserve"> </w:t>
      </w:r>
      <w:r w:rsidR="006A2C89" w:rsidRPr="006A2C89">
        <w:rPr>
          <w:i/>
          <w:lang w:val="en-US"/>
        </w:rPr>
        <w:t>amendments to the Investment Programme of PJSC Rosseti Kuban for the period 2018-2022, approved by Order of the Ministry of Energy of the Russian Federation of December 1, 2017 No.21@, taking into account amendments that have been introduced by the Order of the Ministry of Energy of the Russian Federation of December 25, 2020 No. 23@</w:t>
      </w:r>
      <w:r w:rsidR="006A2C89">
        <w:rPr>
          <w:i/>
          <w:lang w:val="en-US"/>
        </w:rPr>
        <w:t xml:space="preserve"> in accordance with Appendix to the present resolution to the Company’s Board of Directors.</w:t>
      </w:r>
    </w:p>
    <w:p w14:paraId="0930DC1A" w14:textId="40CC6CC1" w:rsidR="001706EF" w:rsidRPr="00CF059F" w:rsidRDefault="001706EF" w:rsidP="001706EF">
      <w:pPr>
        <w:suppressAutoHyphens/>
        <w:ind w:firstLine="851"/>
        <w:jc w:val="both"/>
        <w:rPr>
          <w:i/>
          <w:lang w:val="en-US"/>
        </w:rPr>
      </w:pPr>
      <w:r w:rsidRPr="00CF059F">
        <w:rPr>
          <w:i/>
          <w:lang w:val="en-US"/>
        </w:rPr>
        <w:t>2.</w:t>
      </w:r>
      <w:r w:rsidR="00CF059F" w:rsidRPr="00CF059F">
        <w:rPr>
          <w:lang w:val="en-US"/>
        </w:rPr>
        <w:t xml:space="preserve"> </w:t>
      </w:r>
      <w:r w:rsidR="00CF059F" w:rsidRPr="00CF059F">
        <w:rPr>
          <w:i/>
          <w:lang w:val="en-US"/>
        </w:rPr>
        <w:t xml:space="preserve">To assign the </w:t>
      </w:r>
      <w:r w:rsidR="00CF059F">
        <w:rPr>
          <w:i/>
          <w:lang w:val="en-US"/>
        </w:rPr>
        <w:t>C</w:t>
      </w:r>
      <w:r w:rsidR="00CF059F" w:rsidRPr="00CF059F">
        <w:rPr>
          <w:i/>
          <w:lang w:val="en-US"/>
        </w:rPr>
        <w:t xml:space="preserve">hief </w:t>
      </w:r>
      <w:r w:rsidR="00CF059F">
        <w:rPr>
          <w:i/>
          <w:lang w:val="en-US"/>
        </w:rPr>
        <w:t>E</w:t>
      </w:r>
      <w:r w:rsidR="00CF059F" w:rsidRPr="00CF059F">
        <w:rPr>
          <w:i/>
          <w:lang w:val="en-US"/>
        </w:rPr>
        <w:t xml:space="preserve">xecutive </w:t>
      </w:r>
      <w:r w:rsidR="00CF059F">
        <w:rPr>
          <w:i/>
          <w:lang w:val="en-US"/>
        </w:rPr>
        <w:t>O</w:t>
      </w:r>
      <w:r w:rsidR="00CF059F" w:rsidRPr="00CF059F">
        <w:rPr>
          <w:i/>
          <w:lang w:val="en-US"/>
        </w:rPr>
        <w:t>fficer (CEO) to provide</w:t>
      </w:r>
      <w:r w:rsidRPr="00CF059F">
        <w:rPr>
          <w:i/>
          <w:lang w:val="en-US"/>
        </w:rPr>
        <w:t>:</w:t>
      </w:r>
    </w:p>
    <w:p w14:paraId="666989D2" w14:textId="343BA159" w:rsidR="00CF059F" w:rsidRPr="00CF059F" w:rsidRDefault="001706EF" w:rsidP="001706EF">
      <w:pPr>
        <w:suppressAutoHyphens/>
        <w:ind w:firstLine="851"/>
        <w:jc w:val="both"/>
        <w:rPr>
          <w:i/>
          <w:lang w:val="en-US"/>
        </w:rPr>
      </w:pPr>
      <w:r w:rsidRPr="00CF059F">
        <w:rPr>
          <w:i/>
          <w:lang w:val="en-US"/>
        </w:rPr>
        <w:t>2.1.</w:t>
      </w:r>
      <w:r w:rsidR="00CF059F">
        <w:rPr>
          <w:i/>
          <w:lang w:val="en-US"/>
        </w:rPr>
        <w:t xml:space="preserve"> To provide the approval of </w:t>
      </w:r>
      <w:r w:rsidR="00CF059F" w:rsidRPr="00CF059F">
        <w:rPr>
          <w:i/>
          <w:lang w:val="en-US"/>
        </w:rPr>
        <w:t>amendments to the Investment Programme of PJSC Rosseti Kuban for the period 2018-2022, approved by Order of the Ministry of Energy of the Russian Federation of December 1, 2017 No.21@, taking into account amendments that have been introduced by the Order of the Ministry of Energy of the Russian Federation of December 25, 2020 No. 23@</w:t>
      </w:r>
      <w:r w:rsidR="003E334B">
        <w:rPr>
          <w:i/>
          <w:lang w:val="en-US"/>
        </w:rPr>
        <w:t xml:space="preserve">, to the </w:t>
      </w:r>
      <w:r w:rsidR="003E334B" w:rsidRPr="00CF059F">
        <w:rPr>
          <w:i/>
          <w:lang w:val="en-US"/>
        </w:rPr>
        <w:t>Ministry of Energy of the Russian Federation</w:t>
      </w:r>
      <w:r w:rsidR="003E334B" w:rsidRPr="003E334B">
        <w:rPr>
          <w:lang w:val="en-US"/>
        </w:rPr>
        <w:t xml:space="preserve"> </w:t>
      </w:r>
      <w:r w:rsidR="003E334B" w:rsidRPr="003E334B">
        <w:rPr>
          <w:i/>
          <w:lang w:val="en-US"/>
        </w:rPr>
        <w:t xml:space="preserve">in accordance with the procedure established by the Decree of the </w:t>
      </w:r>
      <w:r w:rsidR="003E334B" w:rsidRPr="003E334B">
        <w:rPr>
          <w:i/>
          <w:lang w:val="en-US"/>
        </w:rPr>
        <w:lastRenderedPageBreak/>
        <w:t>Government of the Russian Federation</w:t>
      </w:r>
      <w:r w:rsidR="003E334B">
        <w:rPr>
          <w:i/>
          <w:lang w:val="en-US"/>
        </w:rPr>
        <w:t xml:space="preserve"> of December 1, 2009 No.977 “</w:t>
      </w:r>
      <w:r w:rsidR="003E334B" w:rsidRPr="003E334B">
        <w:rPr>
          <w:i/>
          <w:lang w:val="en-US"/>
        </w:rPr>
        <w:t>On investment programs of  electric power industry entities</w:t>
      </w:r>
      <w:r w:rsidR="003E334B">
        <w:rPr>
          <w:i/>
          <w:lang w:val="en-US"/>
        </w:rPr>
        <w:t>”.</w:t>
      </w:r>
    </w:p>
    <w:p w14:paraId="0DC2F427" w14:textId="48D33187" w:rsidR="001E48DD" w:rsidRPr="00CF059F" w:rsidRDefault="001706EF" w:rsidP="001E48DD">
      <w:pPr>
        <w:suppressAutoHyphens/>
        <w:ind w:firstLine="851"/>
        <w:jc w:val="both"/>
        <w:rPr>
          <w:i/>
          <w:lang w:val="en-US"/>
        </w:rPr>
      </w:pPr>
      <w:r w:rsidRPr="003E334B">
        <w:rPr>
          <w:i/>
          <w:lang w:val="en-US"/>
        </w:rPr>
        <w:t>2.2.</w:t>
      </w:r>
      <w:r w:rsidR="003E334B" w:rsidRPr="003E334B">
        <w:rPr>
          <w:lang w:val="en-US"/>
        </w:rPr>
        <w:t xml:space="preserve"> </w:t>
      </w:r>
      <w:r w:rsidR="003E334B" w:rsidRPr="003E334B">
        <w:rPr>
          <w:i/>
          <w:lang w:val="en-US"/>
        </w:rPr>
        <w:t>To submit a report on the implementation of Clause 2.1 of the present resolution for consideration by the Board of Directors of the Company including the reasons for deviation of the approved investment programme from the investment project approved by the Board of Directors of the Company (in the case of deviations) within 30 working days after</w:t>
      </w:r>
      <w:r w:rsidR="001E48DD">
        <w:rPr>
          <w:i/>
          <w:lang w:val="en-US"/>
        </w:rPr>
        <w:t xml:space="preserve"> the </w:t>
      </w:r>
      <w:r w:rsidR="001E48DD">
        <w:rPr>
          <w:i/>
          <w:lang w:val="en-US"/>
        </w:rPr>
        <w:t xml:space="preserve">approval of </w:t>
      </w:r>
      <w:r w:rsidR="001E48DD" w:rsidRPr="00CF059F">
        <w:rPr>
          <w:i/>
          <w:lang w:val="en-US"/>
        </w:rPr>
        <w:t>amendments to the Investment Programme of PJSC Rosseti Kuban for the period 2018-2022, approved by Order of the Ministry of Energy of the Russian Federation of December 1, 2017 No.21@, taking into account amendments that have been introduced by the Order of the Ministry of Energy of the Russian Federation of December 25, 2020 No. 23@</w:t>
      </w:r>
      <w:r w:rsidR="001E48DD">
        <w:rPr>
          <w:i/>
          <w:lang w:val="en-US"/>
        </w:rPr>
        <w:t xml:space="preserve">, to the </w:t>
      </w:r>
      <w:r w:rsidR="001E48DD" w:rsidRPr="00CF059F">
        <w:rPr>
          <w:i/>
          <w:lang w:val="en-US"/>
        </w:rPr>
        <w:t>Ministry of Energy of the Russian Federation</w:t>
      </w:r>
      <w:r w:rsidR="001E48DD" w:rsidRPr="003E334B">
        <w:rPr>
          <w:lang w:val="en-US"/>
        </w:rPr>
        <w:t xml:space="preserve"> </w:t>
      </w:r>
      <w:r w:rsidR="001E48DD" w:rsidRPr="003E334B">
        <w:rPr>
          <w:i/>
          <w:lang w:val="en-US"/>
        </w:rPr>
        <w:t>in accordance with the procedure established by the Decree of the Government of the Russian Federation</w:t>
      </w:r>
      <w:r w:rsidR="001E48DD">
        <w:rPr>
          <w:i/>
          <w:lang w:val="en-US"/>
        </w:rPr>
        <w:t xml:space="preserve"> of December 1, 2009 No.977 “</w:t>
      </w:r>
      <w:r w:rsidR="001E48DD" w:rsidRPr="003E334B">
        <w:rPr>
          <w:i/>
          <w:lang w:val="en-US"/>
        </w:rPr>
        <w:t>On investment programs of  electric power industry entities</w:t>
      </w:r>
      <w:r w:rsidR="001E48DD">
        <w:rPr>
          <w:i/>
          <w:lang w:val="en-US"/>
        </w:rPr>
        <w:t>”.</w:t>
      </w:r>
    </w:p>
    <w:p w14:paraId="4C1693D7" w14:textId="77777777" w:rsidR="00B03255" w:rsidRDefault="00B03255" w:rsidP="00B03255">
      <w:pPr>
        <w:ind w:right="-284"/>
        <w:jc w:val="both"/>
        <w:rPr>
          <w:i/>
        </w:rPr>
      </w:pPr>
      <w:r>
        <w:rPr>
          <w:b/>
          <w:lang w:val="en-US"/>
        </w:rPr>
        <w:t>The results of voting</w:t>
      </w:r>
      <w:r>
        <w:rPr>
          <w:b/>
        </w:rPr>
        <w:t>:</w:t>
      </w:r>
    </w:p>
    <w:tbl>
      <w:tblPr>
        <w:tblW w:w="10206" w:type="dxa"/>
        <w:tblLook w:val="04A0" w:firstRow="1" w:lastRow="0" w:firstColumn="1" w:lastColumn="0" w:noHBand="0" w:noVBand="1"/>
      </w:tblPr>
      <w:tblGrid>
        <w:gridCol w:w="2076"/>
        <w:gridCol w:w="296"/>
        <w:gridCol w:w="2634"/>
        <w:gridCol w:w="2198"/>
        <w:gridCol w:w="485"/>
        <w:gridCol w:w="2517"/>
      </w:tblGrid>
      <w:tr w:rsidR="00B03255" w14:paraId="337B5CB2" w14:textId="77777777" w:rsidTr="00B03255">
        <w:tc>
          <w:tcPr>
            <w:tcW w:w="2076" w:type="dxa"/>
            <w:hideMark/>
          </w:tcPr>
          <w:p w14:paraId="19326BC3" w14:textId="77777777" w:rsidR="00B03255" w:rsidRDefault="00B03255">
            <w:pPr>
              <w:rPr>
                <w:lang w:val="en-US"/>
              </w:rPr>
            </w:pPr>
            <w:r>
              <w:rPr>
                <w:lang w:val="en-US"/>
              </w:rPr>
              <w:t>Gavrilov A.I.</w:t>
            </w:r>
          </w:p>
        </w:tc>
        <w:tc>
          <w:tcPr>
            <w:tcW w:w="296" w:type="dxa"/>
            <w:hideMark/>
          </w:tcPr>
          <w:p w14:paraId="3E5CC459" w14:textId="77777777" w:rsidR="00B03255" w:rsidRDefault="00B03255">
            <w:pPr>
              <w:rPr>
                <w:lang w:val="en-US"/>
              </w:rPr>
            </w:pPr>
            <w:r>
              <w:rPr>
                <w:lang w:val="en-US"/>
              </w:rPr>
              <w:t>-</w:t>
            </w:r>
          </w:p>
        </w:tc>
        <w:tc>
          <w:tcPr>
            <w:tcW w:w="2634" w:type="dxa"/>
            <w:hideMark/>
          </w:tcPr>
          <w:p w14:paraId="07E56021" w14:textId="77777777" w:rsidR="00B03255" w:rsidRDefault="00B03255">
            <w:pPr>
              <w:rPr>
                <w:b/>
                <w:lang w:val="en-US"/>
              </w:rPr>
            </w:pPr>
            <w:r>
              <w:rPr>
                <w:b/>
                <w:lang w:val="en-US"/>
              </w:rPr>
              <w:t>“FOR”</w:t>
            </w:r>
          </w:p>
        </w:tc>
        <w:tc>
          <w:tcPr>
            <w:tcW w:w="2198" w:type="dxa"/>
            <w:hideMark/>
          </w:tcPr>
          <w:p w14:paraId="05A584A5" w14:textId="77777777" w:rsidR="00B03255" w:rsidRDefault="00B03255">
            <w:pPr>
              <w:rPr>
                <w:lang w:val="en-US"/>
              </w:rPr>
            </w:pPr>
            <w:r>
              <w:rPr>
                <w:lang w:val="en-US"/>
              </w:rPr>
              <w:t>Medvedev M.V.</w:t>
            </w:r>
          </w:p>
        </w:tc>
        <w:tc>
          <w:tcPr>
            <w:tcW w:w="485" w:type="dxa"/>
            <w:hideMark/>
          </w:tcPr>
          <w:p w14:paraId="39DE5953" w14:textId="77777777" w:rsidR="00B03255" w:rsidRDefault="00B03255">
            <w:pPr>
              <w:rPr>
                <w:lang w:val="en-US"/>
              </w:rPr>
            </w:pPr>
            <w:r>
              <w:rPr>
                <w:lang w:val="en-US"/>
              </w:rPr>
              <w:t>-</w:t>
            </w:r>
          </w:p>
        </w:tc>
        <w:tc>
          <w:tcPr>
            <w:tcW w:w="2517" w:type="dxa"/>
            <w:hideMark/>
          </w:tcPr>
          <w:p w14:paraId="2215A583" w14:textId="77777777" w:rsidR="00B03255" w:rsidRDefault="00B03255">
            <w:pPr>
              <w:rPr>
                <w:b/>
                <w:lang w:val="en-US"/>
              </w:rPr>
            </w:pPr>
            <w:r>
              <w:rPr>
                <w:b/>
                <w:lang w:val="en-US"/>
              </w:rPr>
              <w:t>“FOR”</w:t>
            </w:r>
          </w:p>
        </w:tc>
      </w:tr>
      <w:tr w:rsidR="00B03255" w14:paraId="72488AB9" w14:textId="77777777" w:rsidTr="00B03255">
        <w:tc>
          <w:tcPr>
            <w:tcW w:w="2076" w:type="dxa"/>
            <w:hideMark/>
          </w:tcPr>
          <w:p w14:paraId="1E9FE4CB" w14:textId="77777777" w:rsidR="00B03255" w:rsidRDefault="00B03255">
            <w:pPr>
              <w:rPr>
                <w:lang w:val="en-US"/>
              </w:rPr>
            </w:pPr>
            <w:r>
              <w:rPr>
                <w:spacing w:val="-2"/>
                <w:lang w:val="en-US"/>
              </w:rPr>
              <w:t>Alyushenko I. D</w:t>
            </w:r>
          </w:p>
        </w:tc>
        <w:tc>
          <w:tcPr>
            <w:tcW w:w="296" w:type="dxa"/>
            <w:hideMark/>
          </w:tcPr>
          <w:p w14:paraId="77190833" w14:textId="77777777" w:rsidR="00B03255" w:rsidRDefault="00B03255">
            <w:pPr>
              <w:rPr>
                <w:lang w:val="en-US"/>
              </w:rPr>
            </w:pPr>
            <w:r>
              <w:rPr>
                <w:lang w:val="en-US"/>
              </w:rPr>
              <w:t>-</w:t>
            </w:r>
          </w:p>
        </w:tc>
        <w:tc>
          <w:tcPr>
            <w:tcW w:w="2634" w:type="dxa"/>
            <w:hideMark/>
          </w:tcPr>
          <w:p w14:paraId="165C7F2C" w14:textId="77777777" w:rsidR="00B03255" w:rsidRDefault="00B03255">
            <w:pPr>
              <w:rPr>
                <w:b/>
                <w:lang w:val="en-US"/>
              </w:rPr>
            </w:pPr>
            <w:r>
              <w:rPr>
                <w:b/>
                <w:lang w:val="en-US"/>
              </w:rPr>
              <w:t>“FOR”</w:t>
            </w:r>
          </w:p>
        </w:tc>
        <w:tc>
          <w:tcPr>
            <w:tcW w:w="2198" w:type="dxa"/>
            <w:hideMark/>
          </w:tcPr>
          <w:p w14:paraId="75876B29" w14:textId="77777777" w:rsidR="00B03255" w:rsidRDefault="00B03255">
            <w:pPr>
              <w:rPr>
                <w:lang w:val="en-US"/>
              </w:rPr>
            </w:pPr>
            <w:r>
              <w:rPr>
                <w:lang w:val="en-US"/>
              </w:rPr>
              <w:t>Sergeev S.V.</w:t>
            </w:r>
          </w:p>
        </w:tc>
        <w:tc>
          <w:tcPr>
            <w:tcW w:w="485" w:type="dxa"/>
            <w:hideMark/>
          </w:tcPr>
          <w:p w14:paraId="6726FC3A" w14:textId="77777777" w:rsidR="00B03255" w:rsidRDefault="00B03255">
            <w:pPr>
              <w:rPr>
                <w:lang w:val="en-US"/>
              </w:rPr>
            </w:pPr>
            <w:r>
              <w:rPr>
                <w:lang w:val="en-US"/>
              </w:rPr>
              <w:t>-</w:t>
            </w:r>
          </w:p>
        </w:tc>
        <w:tc>
          <w:tcPr>
            <w:tcW w:w="2517" w:type="dxa"/>
            <w:hideMark/>
          </w:tcPr>
          <w:p w14:paraId="5DA7327B" w14:textId="77777777" w:rsidR="00B03255" w:rsidRDefault="00B03255">
            <w:pPr>
              <w:rPr>
                <w:b/>
                <w:lang w:val="en-US"/>
              </w:rPr>
            </w:pPr>
            <w:r>
              <w:rPr>
                <w:b/>
                <w:lang w:val="en-US"/>
              </w:rPr>
              <w:t>“FOR”</w:t>
            </w:r>
          </w:p>
        </w:tc>
      </w:tr>
      <w:tr w:rsidR="00B03255" w14:paraId="4D1F829D" w14:textId="77777777" w:rsidTr="00B03255">
        <w:tc>
          <w:tcPr>
            <w:tcW w:w="2076" w:type="dxa"/>
            <w:hideMark/>
          </w:tcPr>
          <w:p w14:paraId="63FEC694" w14:textId="77777777" w:rsidR="00B03255" w:rsidRDefault="00B03255">
            <w:pPr>
              <w:rPr>
                <w:lang w:val="en-US"/>
              </w:rPr>
            </w:pPr>
            <w:r>
              <w:rPr>
                <w:lang w:val="en-US"/>
              </w:rPr>
              <w:t xml:space="preserve">Varvarin </w:t>
            </w:r>
            <w:r>
              <w:t>А</w:t>
            </w:r>
            <w:r>
              <w:rPr>
                <w:lang w:val="en-US"/>
              </w:rPr>
              <w:t>.V.</w:t>
            </w:r>
          </w:p>
        </w:tc>
        <w:tc>
          <w:tcPr>
            <w:tcW w:w="296" w:type="dxa"/>
            <w:hideMark/>
          </w:tcPr>
          <w:p w14:paraId="401500D8" w14:textId="77777777" w:rsidR="00B03255" w:rsidRDefault="00B03255">
            <w:pPr>
              <w:rPr>
                <w:lang w:val="en-US"/>
              </w:rPr>
            </w:pPr>
            <w:r>
              <w:rPr>
                <w:lang w:val="en-US"/>
              </w:rPr>
              <w:t>-</w:t>
            </w:r>
          </w:p>
        </w:tc>
        <w:tc>
          <w:tcPr>
            <w:tcW w:w="2634" w:type="dxa"/>
            <w:hideMark/>
          </w:tcPr>
          <w:p w14:paraId="00CE3996" w14:textId="77777777" w:rsidR="00B03255" w:rsidRDefault="00B03255">
            <w:pPr>
              <w:rPr>
                <w:b/>
                <w:lang w:val="en-US"/>
              </w:rPr>
            </w:pPr>
            <w:r>
              <w:rPr>
                <w:b/>
                <w:lang w:val="en-US"/>
              </w:rPr>
              <w:t>“FOR”</w:t>
            </w:r>
          </w:p>
        </w:tc>
        <w:tc>
          <w:tcPr>
            <w:tcW w:w="2198" w:type="dxa"/>
            <w:hideMark/>
          </w:tcPr>
          <w:p w14:paraId="0283DE2D" w14:textId="7BB13A1A" w:rsidR="00B03255" w:rsidRDefault="00B03255">
            <w:pPr>
              <w:rPr>
                <w:lang w:val="en-US"/>
              </w:rPr>
            </w:pPr>
            <w:r>
              <w:rPr>
                <w:lang w:val="en-US"/>
              </w:rPr>
              <w:t>Shagina I.A</w:t>
            </w:r>
            <w:r>
              <w:t>.</w:t>
            </w:r>
          </w:p>
        </w:tc>
        <w:tc>
          <w:tcPr>
            <w:tcW w:w="485" w:type="dxa"/>
            <w:hideMark/>
          </w:tcPr>
          <w:p w14:paraId="17EF1E0C" w14:textId="77777777" w:rsidR="00B03255" w:rsidRDefault="00B03255">
            <w:pPr>
              <w:rPr>
                <w:lang w:val="en-US"/>
              </w:rPr>
            </w:pPr>
            <w:r>
              <w:rPr>
                <w:lang w:val="en-US"/>
              </w:rPr>
              <w:t>-</w:t>
            </w:r>
          </w:p>
        </w:tc>
        <w:tc>
          <w:tcPr>
            <w:tcW w:w="2517" w:type="dxa"/>
            <w:hideMark/>
          </w:tcPr>
          <w:p w14:paraId="4B606C17" w14:textId="77777777" w:rsidR="00B03255" w:rsidRDefault="00B03255">
            <w:pPr>
              <w:rPr>
                <w:b/>
                <w:lang w:val="en-US"/>
              </w:rPr>
            </w:pPr>
            <w:r>
              <w:rPr>
                <w:b/>
                <w:lang w:val="en-US"/>
              </w:rPr>
              <w:t>“FOR”</w:t>
            </w:r>
          </w:p>
        </w:tc>
      </w:tr>
      <w:tr w:rsidR="00B03255" w14:paraId="290854D1" w14:textId="77777777" w:rsidTr="00B03255">
        <w:tc>
          <w:tcPr>
            <w:tcW w:w="2076" w:type="dxa"/>
            <w:hideMark/>
          </w:tcPr>
          <w:p w14:paraId="4CE29182" w14:textId="77777777" w:rsidR="00B03255" w:rsidRDefault="00B03255">
            <w:r>
              <w:rPr>
                <w:lang w:val="en-US"/>
              </w:rPr>
              <w:t>Guryanov D.L.</w:t>
            </w:r>
          </w:p>
        </w:tc>
        <w:tc>
          <w:tcPr>
            <w:tcW w:w="296" w:type="dxa"/>
            <w:hideMark/>
          </w:tcPr>
          <w:p w14:paraId="2AF50537" w14:textId="77777777" w:rsidR="00B03255" w:rsidRDefault="00B03255">
            <w:r>
              <w:t>-</w:t>
            </w:r>
          </w:p>
        </w:tc>
        <w:tc>
          <w:tcPr>
            <w:tcW w:w="2634" w:type="dxa"/>
            <w:hideMark/>
          </w:tcPr>
          <w:p w14:paraId="14D5D26B" w14:textId="77777777" w:rsidR="00B03255" w:rsidRDefault="00B03255">
            <w:pPr>
              <w:rPr>
                <w:b/>
                <w:lang w:val="en-US"/>
              </w:rPr>
            </w:pPr>
            <w:r>
              <w:rPr>
                <w:b/>
                <w:lang w:val="en-US"/>
              </w:rPr>
              <w:t>“FOR”</w:t>
            </w:r>
          </w:p>
        </w:tc>
        <w:tc>
          <w:tcPr>
            <w:tcW w:w="2198" w:type="dxa"/>
            <w:hideMark/>
          </w:tcPr>
          <w:p w14:paraId="69F618A1" w14:textId="14086C79" w:rsidR="00B03255" w:rsidRDefault="00B03255">
            <w:r>
              <w:rPr>
                <w:lang w:val="en-US"/>
              </w:rPr>
              <w:t>Yavorskiy V</w:t>
            </w:r>
            <w:r>
              <w:t>.К.</w:t>
            </w:r>
          </w:p>
        </w:tc>
        <w:tc>
          <w:tcPr>
            <w:tcW w:w="485" w:type="dxa"/>
            <w:hideMark/>
          </w:tcPr>
          <w:p w14:paraId="211BB673" w14:textId="77777777" w:rsidR="00B03255" w:rsidRDefault="00B03255">
            <w:r>
              <w:t>-</w:t>
            </w:r>
          </w:p>
        </w:tc>
        <w:tc>
          <w:tcPr>
            <w:tcW w:w="2517" w:type="dxa"/>
            <w:hideMark/>
          </w:tcPr>
          <w:p w14:paraId="3F332B13" w14:textId="77777777" w:rsidR="00B03255" w:rsidRDefault="00B03255">
            <w:pPr>
              <w:rPr>
                <w:b/>
                <w:lang w:val="en-US"/>
              </w:rPr>
            </w:pPr>
            <w:r>
              <w:rPr>
                <w:b/>
                <w:lang w:val="en-US"/>
              </w:rPr>
              <w:t>“FOR”</w:t>
            </w:r>
          </w:p>
        </w:tc>
      </w:tr>
      <w:tr w:rsidR="00B03255" w14:paraId="1B5E15B6" w14:textId="77777777" w:rsidTr="00B03255">
        <w:trPr>
          <w:gridAfter w:val="2"/>
          <w:wAfter w:w="3002" w:type="dxa"/>
          <w:trHeight w:val="149"/>
        </w:trPr>
        <w:tc>
          <w:tcPr>
            <w:tcW w:w="2076" w:type="dxa"/>
            <w:hideMark/>
          </w:tcPr>
          <w:p w14:paraId="3FAA9265" w14:textId="77777777" w:rsidR="00B03255" w:rsidRDefault="00B03255">
            <w:r>
              <w:rPr>
                <w:lang w:val="en-US"/>
              </w:rPr>
              <w:t>Logatkin A.V.</w:t>
            </w:r>
          </w:p>
        </w:tc>
        <w:tc>
          <w:tcPr>
            <w:tcW w:w="296" w:type="dxa"/>
            <w:hideMark/>
          </w:tcPr>
          <w:p w14:paraId="0DBEF693" w14:textId="77777777" w:rsidR="00B03255" w:rsidRDefault="00B03255">
            <w:r>
              <w:t>-</w:t>
            </w:r>
          </w:p>
        </w:tc>
        <w:tc>
          <w:tcPr>
            <w:tcW w:w="2634" w:type="dxa"/>
            <w:hideMark/>
          </w:tcPr>
          <w:p w14:paraId="72061C9F" w14:textId="77777777" w:rsidR="00B03255" w:rsidRDefault="00B03255">
            <w:pPr>
              <w:rPr>
                <w:b/>
                <w:lang w:val="en-US"/>
              </w:rPr>
            </w:pPr>
            <w:r>
              <w:rPr>
                <w:b/>
                <w:lang w:val="en-US"/>
              </w:rPr>
              <w:t>“FOR”</w:t>
            </w:r>
          </w:p>
        </w:tc>
        <w:tc>
          <w:tcPr>
            <w:tcW w:w="2198" w:type="dxa"/>
            <w:hideMark/>
          </w:tcPr>
          <w:p w14:paraId="6F84FAF1" w14:textId="6C765E31" w:rsidR="00B03255" w:rsidRDefault="00B03255"/>
        </w:tc>
      </w:tr>
    </w:tbl>
    <w:p w14:paraId="0373B486" w14:textId="458D9143" w:rsidR="00B03255" w:rsidRDefault="00B03255" w:rsidP="00B03255">
      <w:pPr>
        <w:pStyle w:val="a4"/>
        <w:widowControl w:val="0"/>
        <w:rPr>
          <w:sz w:val="24"/>
          <w:lang w:val="en-US"/>
        </w:rPr>
      </w:pPr>
      <w:r>
        <w:rPr>
          <w:sz w:val="24"/>
          <w:szCs w:val="22"/>
          <w:lang w:val="en-US"/>
        </w:rPr>
        <w:t xml:space="preserve">Thus, regarding the first Agenda Item of the meeting, the resolution </w:t>
      </w:r>
      <w:r>
        <w:rPr>
          <w:b/>
          <w:sz w:val="24"/>
          <w:szCs w:val="22"/>
          <w:lang w:val="en-US"/>
        </w:rPr>
        <w:t>was adopted unanimously</w:t>
      </w:r>
      <w:r>
        <w:rPr>
          <w:sz w:val="24"/>
          <w:szCs w:val="22"/>
          <w:lang w:val="en-US"/>
        </w:rPr>
        <w:t xml:space="preserve"> by the Board of Directors participating in the meeting</w:t>
      </w:r>
      <w:r>
        <w:rPr>
          <w:sz w:val="24"/>
          <w:lang w:val="en-US"/>
        </w:rPr>
        <w:t>.</w:t>
      </w:r>
    </w:p>
    <w:p w14:paraId="08E11E26" w14:textId="77777777" w:rsidR="00B03255" w:rsidRDefault="00B03255" w:rsidP="00B03255">
      <w:pPr>
        <w:pStyle w:val="a4"/>
        <w:widowControl w:val="0"/>
        <w:rPr>
          <w:b/>
          <w:color w:val="000000"/>
          <w:sz w:val="24"/>
          <w:lang w:val="en-US"/>
        </w:rPr>
      </w:pPr>
    </w:p>
    <w:p w14:paraId="3F4E4463" w14:textId="77777777" w:rsidR="00B03255" w:rsidRDefault="00B03255" w:rsidP="00B03255">
      <w:pPr>
        <w:pStyle w:val="a4"/>
        <w:widowControl w:val="0"/>
        <w:rPr>
          <w:b/>
          <w:color w:val="000000"/>
          <w:sz w:val="24"/>
          <w:lang w:val="en-US"/>
        </w:rPr>
      </w:pPr>
    </w:p>
    <w:p w14:paraId="38A266BA" w14:textId="77777777" w:rsidR="00B03255" w:rsidRDefault="00B03255" w:rsidP="00B03255">
      <w:pPr>
        <w:widowControl w:val="0"/>
        <w:shd w:val="clear" w:color="auto" w:fill="FFFFFF"/>
        <w:jc w:val="both"/>
        <w:rPr>
          <w:b/>
          <w:lang w:val="en-US"/>
        </w:rPr>
      </w:pPr>
      <w:r>
        <w:rPr>
          <w:b/>
          <w:lang w:val="en-US"/>
        </w:rPr>
        <w:t>Chairman of the Board of Directors</w:t>
      </w:r>
      <w:r>
        <w:rPr>
          <w:b/>
          <w:lang w:val="en-US"/>
        </w:rPr>
        <w:tab/>
      </w:r>
      <w:r>
        <w:rPr>
          <w:b/>
          <w:lang w:val="en-US"/>
        </w:rPr>
        <w:tab/>
        <w:t xml:space="preserve"> </w:t>
      </w:r>
      <w:r>
        <w:rPr>
          <w:b/>
          <w:lang w:val="en-US"/>
        </w:rPr>
        <w:tab/>
        <w:t xml:space="preserve">        </w:t>
      </w:r>
      <w:r>
        <w:rPr>
          <w:b/>
          <w:lang w:val="en-US"/>
        </w:rPr>
        <w:tab/>
        <w:t xml:space="preserve">        </w:t>
      </w:r>
      <w:r>
        <w:rPr>
          <w:b/>
        </w:rPr>
        <w:t>А</w:t>
      </w:r>
      <w:r>
        <w:rPr>
          <w:b/>
          <w:lang w:val="en-US"/>
        </w:rPr>
        <w:t>.I. Gavrilov</w:t>
      </w:r>
    </w:p>
    <w:p w14:paraId="494BC277" w14:textId="77777777" w:rsidR="00B03255" w:rsidRDefault="00B03255" w:rsidP="00B03255">
      <w:pPr>
        <w:widowControl w:val="0"/>
        <w:shd w:val="clear" w:color="auto" w:fill="FFFFFF"/>
        <w:jc w:val="both"/>
        <w:rPr>
          <w:b/>
          <w:lang w:val="en-US"/>
        </w:rPr>
      </w:pPr>
    </w:p>
    <w:p w14:paraId="7A702159" w14:textId="77777777" w:rsidR="00B03255" w:rsidRDefault="00B03255" w:rsidP="00B03255">
      <w:pPr>
        <w:widowControl w:val="0"/>
        <w:shd w:val="clear" w:color="auto" w:fill="FFFFFF"/>
        <w:jc w:val="both"/>
        <w:rPr>
          <w:b/>
          <w:lang w:val="en-US"/>
        </w:rPr>
      </w:pPr>
    </w:p>
    <w:p w14:paraId="3ABC5688" w14:textId="77777777" w:rsidR="00B03255" w:rsidRDefault="00B03255" w:rsidP="00B03255">
      <w:pPr>
        <w:pStyle w:val="a4"/>
        <w:widowControl w:val="0"/>
        <w:rPr>
          <w:b/>
          <w:sz w:val="24"/>
        </w:rPr>
      </w:pPr>
      <w:r>
        <w:rPr>
          <w:b/>
          <w:sz w:val="24"/>
          <w:lang w:val="en-US"/>
        </w:rPr>
        <w:t>Corporate Secretary</w:t>
      </w:r>
      <w:r>
        <w:rPr>
          <w:b/>
          <w:sz w:val="24"/>
          <w:lang w:val="en-US"/>
        </w:rPr>
        <w:tab/>
      </w:r>
      <w:r>
        <w:rPr>
          <w:b/>
          <w:sz w:val="24"/>
          <w:lang w:val="en-US"/>
        </w:rPr>
        <w:tab/>
        <w:t xml:space="preserve">                                                                    O.V. Russu</w:t>
      </w:r>
    </w:p>
    <w:p w14:paraId="0E8BAD6D" w14:textId="77777777" w:rsidR="00675137" w:rsidRDefault="00675137" w:rsidP="00442429">
      <w:pPr>
        <w:pStyle w:val="a4"/>
        <w:widowControl w:val="0"/>
        <w:rPr>
          <w:b/>
          <w:color w:val="000000"/>
          <w:sz w:val="24"/>
        </w:rPr>
      </w:pPr>
    </w:p>
    <w:p w14:paraId="1F88DA6F" w14:textId="77777777" w:rsidR="00FA0AAD" w:rsidRDefault="00FA0AAD" w:rsidP="00442429">
      <w:pPr>
        <w:pStyle w:val="a4"/>
        <w:widowControl w:val="0"/>
        <w:rPr>
          <w:b/>
          <w:color w:val="000000"/>
          <w:sz w:val="24"/>
        </w:rPr>
      </w:pPr>
    </w:p>
    <w:p w14:paraId="61D4B592" w14:textId="7E2F25DE" w:rsidR="007D6765" w:rsidRDefault="007D6765" w:rsidP="00442429">
      <w:pPr>
        <w:pStyle w:val="a4"/>
        <w:widowControl w:val="0"/>
        <w:contextualSpacing/>
        <w:rPr>
          <w:b/>
          <w:sz w:val="24"/>
        </w:rPr>
      </w:pP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BF8A" w14:textId="77777777" w:rsidR="00DC1C50" w:rsidRDefault="00DC1C50">
      <w:r>
        <w:separator/>
      </w:r>
    </w:p>
  </w:endnote>
  <w:endnote w:type="continuationSeparator" w:id="0">
    <w:p w14:paraId="72F3E93A" w14:textId="77777777" w:rsidR="00DC1C50" w:rsidRDefault="00DC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29C0" w14:textId="77777777" w:rsidR="00CF059F" w:rsidRDefault="00CF059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5EE8AA9" w14:textId="77777777" w:rsidR="00CF059F" w:rsidRDefault="00CF059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393" w14:textId="77777777" w:rsidR="00CF059F" w:rsidRDefault="00CF059F" w:rsidP="00F26C05">
    <w:pPr>
      <w:pStyle w:val="a8"/>
      <w:jc w:val="right"/>
      <w:rPr>
        <w:sz w:val="16"/>
        <w:szCs w:val="16"/>
      </w:rPr>
    </w:pPr>
  </w:p>
  <w:p w14:paraId="33062AF9" w14:textId="77777777" w:rsidR="00CF059F" w:rsidRPr="00D75DD9" w:rsidRDefault="00CF059F"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474C" w14:textId="77777777" w:rsidR="00DC1C50" w:rsidRDefault="00DC1C50">
      <w:r>
        <w:separator/>
      </w:r>
    </w:p>
  </w:footnote>
  <w:footnote w:type="continuationSeparator" w:id="0">
    <w:p w14:paraId="56A94B8C" w14:textId="77777777" w:rsidR="00DC1C50" w:rsidRDefault="00DC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1"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50D2067"/>
    <w:multiLevelType w:val="hybridMultilevel"/>
    <w:tmpl w:val="6B5AB552"/>
    <w:lvl w:ilvl="0" w:tplc="0419000F">
      <w:start w:val="1"/>
      <w:numFmt w:val="decimal"/>
      <w:lvlText w:val="%1."/>
      <w:lvlJc w:val="left"/>
      <w:pPr>
        <w:ind w:left="908" w:hanging="360"/>
      </w:p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21" w15:restartNumberingAfterBreak="0">
    <w:nsid w:val="55F431DB"/>
    <w:multiLevelType w:val="hybridMultilevel"/>
    <w:tmpl w:val="C1067FC2"/>
    <w:lvl w:ilvl="0" w:tplc="16422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4"/>
  </w:num>
  <w:num w:numId="7">
    <w:abstractNumId w:val="9"/>
  </w:num>
  <w:num w:numId="8">
    <w:abstractNumId w:val="4"/>
  </w:num>
  <w:num w:numId="9">
    <w:abstractNumId w:val="5"/>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7"/>
  </w:num>
  <w:num w:numId="14">
    <w:abstractNumId w:val="22"/>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5"/>
  </w:num>
  <w:num w:numId="19">
    <w:abstractNumId w:val="3"/>
  </w:num>
  <w:num w:numId="20">
    <w:abstractNumId w:val="19"/>
  </w:num>
  <w:num w:numId="21">
    <w:abstractNumId w:val="8"/>
  </w:num>
  <w:num w:numId="22">
    <w:abstractNumId w:val="16"/>
  </w:num>
  <w:num w:numId="23">
    <w:abstractNumId w:val="6"/>
  </w:num>
  <w:num w:numId="24">
    <w:abstractNumId w:val="11"/>
  </w:num>
  <w:num w:numId="25">
    <w:abstractNumId w:val="17"/>
  </w:num>
  <w:num w:numId="26">
    <w:abstractNumId w:val="14"/>
  </w:num>
  <w:num w:numId="27">
    <w:abstractNumId w:val="13"/>
  </w:num>
  <w:num w:numId="28">
    <w:abstractNumId w:val="23"/>
  </w:num>
  <w:num w:numId="29">
    <w:abstractNumId w:val="20"/>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6EF"/>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8DD"/>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A3E"/>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34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1C62"/>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2C89"/>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1F33"/>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018"/>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255"/>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121"/>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59F"/>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53C"/>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50"/>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15D91"/>
  <w15:docId w15:val="{A9550F9B-C051-4FC0-AEF0-6493165F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A0AAD"/>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B03255"/>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76509782">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49396939">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295058377">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D5DE-CA56-4A70-ABAA-CCE7A155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5</cp:revision>
  <cp:lastPrinted>2019-08-14T11:01:00Z</cp:lastPrinted>
  <dcterms:created xsi:type="dcterms:W3CDTF">2021-04-21T16:33:00Z</dcterms:created>
  <dcterms:modified xsi:type="dcterms:W3CDTF">2021-04-21T17:58:00Z</dcterms:modified>
</cp:coreProperties>
</file>