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21ED0" w14:textId="77777777" w:rsidR="00675A05" w:rsidRPr="00675A05" w:rsidRDefault="00675A05" w:rsidP="00675A05">
      <w:pPr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</w:pPr>
      <w:r w:rsidRPr="00675A05"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  <w:t>DRAFT RESOLUTION</w:t>
      </w:r>
    </w:p>
    <w:p w14:paraId="7074E0FC" w14:textId="77777777" w:rsidR="00675A05" w:rsidRPr="00675A05" w:rsidRDefault="00675A05" w:rsidP="00675A05">
      <w:pPr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</w:pPr>
      <w:r w:rsidRPr="00675A05"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  <w:t>OF THE ANNUAL GENERAL MEETING OF SHAREHOLDERS</w:t>
      </w:r>
    </w:p>
    <w:p w14:paraId="690F87F7" w14:textId="3809ED05" w:rsidR="003155ED" w:rsidRPr="00084AB2" w:rsidRDefault="00675A05" w:rsidP="00675A0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675A05">
        <w:rPr>
          <w:rFonts w:ascii="Times New Roman" w:eastAsia="MS Mincho" w:hAnsi="Times New Roman" w:cs="Times New Roman"/>
          <w:b/>
          <w:bCs/>
          <w:sz w:val="28"/>
          <w:szCs w:val="28"/>
        </w:rPr>
        <w:t>OF PJSC KUBANENERGO</w:t>
      </w:r>
    </w:p>
    <w:p w14:paraId="13E00D83" w14:textId="77777777" w:rsidR="003155ED" w:rsidRPr="00CA4993" w:rsidRDefault="003155ED" w:rsidP="00315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  <w:u w:val="single"/>
          <w:lang w:eastAsia="ru-RU"/>
        </w:rPr>
      </w:pPr>
    </w:p>
    <w:p w14:paraId="15731AF5" w14:textId="4442A6F0" w:rsidR="003155ED" w:rsidRPr="006D53DB" w:rsidRDefault="00675A05" w:rsidP="003155ED">
      <w:pPr>
        <w:spacing w:after="120" w:line="240" w:lineRule="auto"/>
        <w:ind w:right="-45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ITEM</w:t>
      </w:r>
      <w:r w:rsidRPr="006D53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No</w:t>
      </w:r>
      <w:r w:rsidRPr="006D53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 xml:space="preserve">. </w:t>
      </w:r>
      <w:proofErr w:type="gramStart"/>
      <w:r w:rsidRPr="006D53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2</w:t>
      </w:r>
      <w:r w:rsidR="001A7AED" w:rsidRPr="006D53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 xml:space="preserve"> </w:t>
      </w:r>
      <w:r w:rsidR="003155ED" w:rsidRPr="006D53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:</w:t>
      </w:r>
      <w:proofErr w:type="gramEnd"/>
    </w:p>
    <w:p w14:paraId="4C0B1523" w14:textId="09DD1DA6" w:rsidR="00675A05" w:rsidRPr="00675A05" w:rsidRDefault="00675A05" w:rsidP="003155ED">
      <w:pPr>
        <w:spacing w:after="120" w:line="240" w:lineRule="auto"/>
        <w:ind w:right="-45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75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“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Approval of the annual accounting statements including the </w:t>
      </w:r>
      <w:r w:rsidRPr="00675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Profit and Loss Statements (profit and loss accounts) of the Company”</w:t>
      </w:r>
    </w:p>
    <w:p w14:paraId="098B4A6B" w14:textId="7419CFB2" w:rsidR="003155ED" w:rsidRPr="00675A05" w:rsidRDefault="00675A05" w:rsidP="003155ED">
      <w:pPr>
        <w:spacing w:after="120" w:line="240" w:lineRule="auto"/>
        <w:ind w:right="-5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DRAFT RESOLUTION</w:t>
      </w:r>
      <w:r w:rsidR="003155ED" w:rsidRPr="00675A0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 w:eastAsia="ru-RU"/>
        </w:rPr>
        <w:t>:</w:t>
      </w:r>
    </w:p>
    <w:p w14:paraId="51C3549B" w14:textId="07309A45" w:rsidR="00675A05" w:rsidRPr="00675A05" w:rsidRDefault="00675A05" w:rsidP="005408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675A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 approve the annual accounting statements of the Company for 2019 in accordance with the Appendix published on the official website of the Company at http://kubanenergo.ru/.</w:t>
      </w:r>
    </w:p>
    <w:p w14:paraId="3FB2ACE2" w14:textId="6E9AFF2A" w:rsidR="003155ED" w:rsidRPr="006D53DB" w:rsidRDefault="003155ED" w:rsidP="0054089E">
      <w:p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en-US" w:eastAsia="ru-RU"/>
        </w:rPr>
      </w:pPr>
      <w:r w:rsidRPr="00675A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</w:p>
    <w:p w14:paraId="449F34EA" w14:textId="77777777" w:rsidR="00EE467C" w:rsidRPr="006D53DB" w:rsidRDefault="00EE467C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2ABDD48B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4F8FA2AD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546099F1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18FE9D40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7AE36CE6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01D5ACCB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7D529752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484321B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3E831664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45FED956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5CE49E5E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499C6C17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10EB966F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38F6DF44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71DFFD5B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39077B1A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F0A75C6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7F552B41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01696669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438A7F1E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333B8BD9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0E70E2FF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1BC0F7FA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54F5F328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7A7E2E5A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55C53751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09E80BC0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261778C1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D8039D6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B37A9A5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51741627" w14:textId="77777777" w:rsidR="008C6695" w:rsidRPr="006D53DB" w:rsidRDefault="008C6695" w:rsidP="00315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7A8FF5B" w14:textId="77777777" w:rsidR="00675A05" w:rsidRPr="00675A05" w:rsidRDefault="00675A05" w:rsidP="00675A05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  <w:r w:rsidRPr="00675A05"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lastRenderedPageBreak/>
        <w:t>NOTES TO THE</w:t>
      </w:r>
    </w:p>
    <w:p w14:paraId="59593FAA" w14:textId="77777777" w:rsidR="00675A05" w:rsidRPr="00675A05" w:rsidRDefault="00675A05" w:rsidP="00675A05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  <w:r w:rsidRPr="00675A05"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t>DRAFT RESOLUTION OF THE ANNUAL GENERAL MEETING OF SHAREHOLDERS OF PJSC KUBANENERGO</w:t>
      </w:r>
    </w:p>
    <w:p w14:paraId="4FEC5564" w14:textId="77777777" w:rsidR="00675A05" w:rsidRPr="00675A05" w:rsidRDefault="00675A05" w:rsidP="00675A05">
      <w:pPr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6FC69107" w14:textId="2B5AC806" w:rsidR="00241BC2" w:rsidRPr="00675A05" w:rsidRDefault="00675A05" w:rsidP="006D53DB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675A05"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t xml:space="preserve">“Approval of the annual </w:t>
      </w:r>
      <w:r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t>accounting statements</w:t>
      </w:r>
      <w:r w:rsidR="00415288" w:rsidRPr="00415288"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t xml:space="preserve"> including the Profit and Loss Statements (profit and loss accounts) of the Company</w:t>
      </w:r>
      <w:r w:rsidRPr="00675A05"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  <w:t>”</w:t>
      </w:r>
    </w:p>
    <w:p w14:paraId="102044CA" w14:textId="77777777" w:rsidR="0009322A" w:rsidRPr="006D53DB" w:rsidRDefault="0009322A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756C2ADE" w14:textId="3EA1E481" w:rsidR="00415288" w:rsidRDefault="00415288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Accounting</w:t>
      </w:r>
      <w:r w:rsidRPr="00415288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Statements</w:t>
      </w:r>
      <w:r w:rsidRPr="00415288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of PJSC Kubanenergo were drawn up in accordance with the current normative documents of the Russian Federation on accounting and preparation of reporting </w:t>
      </w:r>
      <w:r w:rsidR="00AD5E4B" w:rsidRPr="00AD5E4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- </w:t>
      </w:r>
      <w:r w:rsidR="00B34F94" w:rsidRPr="00B34F94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more specifically</w:t>
      </w:r>
      <w:r w:rsidR="00AD5E4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Federal Law of December 6, 2011 No. 402-FZ “On accounting”, 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Regulation o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n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Accounting and Reporting in the Russian Federation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 w:rsidR="009A61B9" w:rsidRPr="009A61B9">
        <w:rPr>
          <w:lang w:val="en-US"/>
        </w:rPr>
        <w:t xml:space="preserve"> </w:t>
      </w:r>
      <w:bookmarkStart w:id="0" w:name="_Hlk48740336"/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approved by Order of the Ministry of Finance of the Russian Federation</w:t>
      </w:r>
      <w:bookmarkEnd w:id="0"/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No. 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34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н of 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July 29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</w:t>
      </w:r>
      <w:r w:rsid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1998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 w:rsidR="00234F76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(with</w:t>
      </w:r>
      <w:r w:rsidR="00234F76" w:rsidRPr="00234F76">
        <w:rPr>
          <w:lang w:val="en-US"/>
        </w:rPr>
        <w:t xml:space="preserve"> </w:t>
      </w:r>
      <w:r w:rsidR="00234F76" w:rsidRPr="00234F76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amendments</w:t>
      </w:r>
      <w:r w:rsidR="00234F76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), Regulations on accounting </w:t>
      </w:r>
      <w:r w:rsidR="00234F76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approved by Order of the Ministry of Finance of the Russian Federation</w:t>
      </w:r>
      <w:r w:rsidR="009A61B9"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.</w:t>
      </w:r>
    </w:p>
    <w:p w14:paraId="63C80D44" w14:textId="004EB086" w:rsidR="00C11660" w:rsidRPr="00C11660" w:rsidRDefault="00C11660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In</w:t>
      </w:r>
      <w:r w:rsidRPr="00C11660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accordance</w:t>
      </w:r>
      <w:r w:rsidRPr="00C11660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with</w:t>
      </w:r>
      <w:r w:rsidRPr="00C11660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Section 14 of Federal Law of December 6, 2011 No. 402-FZ “On accounting”, </w:t>
      </w:r>
      <w:r w:rsidRPr="009A61B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Order of the Ministry of Finance of the Russian Federation</w:t>
      </w:r>
      <w:r w:rsidR="002A085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No. 66n of July 2, 2010 “On </w:t>
      </w:r>
      <w:r w:rsidR="002A0852" w:rsidRPr="002A085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accounting forms of organizations</w:t>
      </w:r>
      <w:r w:rsidR="002A085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”, the accounting (financial) statements consist of:</w:t>
      </w:r>
    </w:p>
    <w:p w14:paraId="681FAE18" w14:textId="7C5E7F78" w:rsidR="0054089E" w:rsidRPr="000F4665" w:rsidRDefault="0054089E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 w:rsidRPr="0054089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а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) </w:t>
      </w:r>
      <w:r w:rsidR="006D53D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b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alance sheet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;</w:t>
      </w:r>
    </w:p>
    <w:p w14:paraId="2266BD8A" w14:textId="49CE9721" w:rsidR="0054089E" w:rsidRPr="000F4665" w:rsidRDefault="000F4665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b</w:t>
      </w:r>
      <w:r w:rsidR="0054089E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) 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statement of financial </w:t>
      </w:r>
      <w:proofErr w:type="gramStart"/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results</w:t>
      </w:r>
      <w:r w:rsidR="0054089E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;</w:t>
      </w:r>
      <w:proofErr w:type="gramEnd"/>
    </w:p>
    <w:p w14:paraId="5A822369" w14:textId="37357C06" w:rsidR="0054089E" w:rsidRPr="000F4665" w:rsidRDefault="000F4665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c</w:t>
      </w:r>
      <w:r w:rsidR="0054089E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) </w:t>
      </w:r>
      <w:bookmarkStart w:id="1" w:name="_Hlk48742261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appendices to the balance sheet and 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statement of financial results</w:t>
      </w:r>
      <w:r w:rsidR="0054089E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:</w:t>
      </w:r>
      <w:bookmarkEnd w:id="1"/>
    </w:p>
    <w:p w14:paraId="4D954989" w14:textId="2E65B38C" w:rsidR="0054089E" w:rsidRPr="000F4665" w:rsidRDefault="0054089E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-  </w:t>
      </w:r>
      <w:r w:rsidR="000F4665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statement of changes in equity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</w:t>
      </w:r>
    </w:p>
    <w:p w14:paraId="7332F72A" w14:textId="523D9A00" w:rsidR="0054089E" w:rsidRPr="000F4665" w:rsidRDefault="0054089E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-  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c</w:t>
      </w:r>
      <w:r w:rsidR="000F4665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ash 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f</w:t>
      </w:r>
      <w:r w:rsidR="000F4665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low 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s</w:t>
      </w:r>
      <w:r w:rsidR="000F4665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tatement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</w:t>
      </w:r>
    </w:p>
    <w:p w14:paraId="054103C4" w14:textId="5F7D8EB2" w:rsidR="0054089E" w:rsidRPr="000F4665" w:rsidRDefault="0054089E" w:rsidP="005408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- 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other </w:t>
      </w:r>
      <w:r w:rsidR="000F4665"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appendices to the balance sheet and statement of financial results: 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(</w:t>
      </w:r>
      <w:r w:rsid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notes</w:t>
      </w:r>
      <w:r w:rsidRPr="000F4665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).</w:t>
      </w:r>
    </w:p>
    <w:p w14:paraId="118DF1B6" w14:textId="3B583633" w:rsidR="00B87721" w:rsidRPr="00711901" w:rsidRDefault="00711901" w:rsidP="00540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bookmarkStart w:id="2" w:name="_Hlk48745444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As</w:t>
      </w:r>
      <w:r w:rsidR="006D53D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at</w:t>
      </w:r>
      <w:proofErr w:type="gram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December 31, 2019</w:t>
      </w:r>
      <w:bookmarkEnd w:id="2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 the c</w:t>
      </w:r>
      <w:r w:rsidR="00725347" w:rsidRPr="0072534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urrency of the balance sheet amounted to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76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232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million rubles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as at December 31, 2018 amounted to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75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909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million rubles)</w:t>
      </w:r>
      <w:r w:rsid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which </w:t>
      </w:r>
      <w:r w:rsidR="00BE5F2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is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323 million rubles more than indicator 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for the preceding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reporting </w:t>
      </w:r>
      <w:r w:rsidRPr="0071190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period</w:t>
      </w:r>
      <w:r w:rsidR="00BE5F2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.</w:t>
      </w:r>
    </w:p>
    <w:p w14:paraId="3815E0B8" w14:textId="12EBD6A5" w:rsidR="00BE5F27" w:rsidRPr="00927B6B" w:rsidRDefault="00BE5F27" w:rsidP="00540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Net</w:t>
      </w:r>
      <w:r w:rsidRPr="00BE5F2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profit</w:t>
      </w:r>
      <w:r w:rsidRPr="00BE5F2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of</w:t>
      </w:r>
      <w:r w:rsidRPr="00BE5F27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the Company amounted to 2,428 million rubles for 2019</w:t>
      </w:r>
      <w:r w:rsidR="00927B6B" w:rsidRPr="00927B6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(according to the results of 2018</w:t>
      </w:r>
      <w:r w:rsidR="00927B6B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the net profit amounted to 151 million rubles). </w:t>
      </w:r>
    </w:p>
    <w:p w14:paraId="104BAE80" w14:textId="01AFFAFC" w:rsidR="0054089E" w:rsidRPr="00525753" w:rsidRDefault="00927B6B" w:rsidP="005257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The major share of revenue in 2019 was received for </w:t>
      </w:r>
      <w:r w:rsidR="00036E1A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electric power transmission services and amounted to </w:t>
      </w:r>
      <w:r w:rsidR="00036E1A" w:rsidRPr="00525753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46,515,7</w:t>
      </w:r>
      <w:r w:rsidR="00036E1A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="00036E1A" w:rsidRPr="00525753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million rubles</w:t>
      </w:r>
      <w:r w:rsidR="00525753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>,</w:t>
      </w:r>
      <w:r w:rsidR="00036E1A" w:rsidRPr="00525753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which is 932,2 million rubles or 2% more than revenue for </w:t>
      </w:r>
      <w:r w:rsidR="00036E1A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electric power transmission services for the </w:t>
      </w:r>
      <w:r w:rsidR="00525753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previous reporting period</w:t>
      </w:r>
      <w:r w:rsidR="0054089E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(</w:t>
      </w:r>
      <w:r w:rsidR="009D64B8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45</w:t>
      </w:r>
      <w:r w:rsidR="00525753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,</w:t>
      </w:r>
      <w:r w:rsidR="009D64B8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583,5</w:t>
      </w:r>
      <w:r w:rsidR="0054089E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="00525753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million rubles</w:t>
      </w:r>
      <w:r w:rsidR="0054089E"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).</w:t>
      </w:r>
    </w:p>
    <w:p w14:paraId="531C65BF" w14:textId="45021EB0" w:rsidR="00525753" w:rsidRPr="00525753" w:rsidRDefault="0054089E" w:rsidP="0054089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 w:rsidRP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As at December 31, 2019, the net assets of the Company amounted to 40,748 million rubles (as at December 31, 2019 amounted to 35,362 million rubles, which </w:t>
      </w:r>
      <w:r w:rsidR="007B0917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are</w:t>
      </w:r>
      <w:r w:rsidR="00525753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="00525753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7</w:t>
      </w:r>
      <w:r w:rsid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 w:rsidR="00525753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282</w:t>
      </w:r>
      <w:r w:rsid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million rubles more than the a</w:t>
      </w:r>
      <w:r w:rsidR="00525753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uthorized </w:t>
      </w:r>
      <w:r w:rsid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c</w:t>
      </w:r>
      <w:r w:rsidR="00525753" w:rsidRP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apital</w:t>
      </w:r>
      <w:r w:rsidR="00525753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.</w:t>
      </w:r>
    </w:p>
    <w:p w14:paraId="15CD42C0" w14:textId="10E04626" w:rsidR="004E07CE" w:rsidRPr="004E07CE" w:rsidRDefault="004E07CE" w:rsidP="00540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Compulsory audit of PJSC Kubanenergo (No.307-FZ of December 30, 2008) for 2019 was conducted by the auditor </w:t>
      </w:r>
      <w:r w:rsidRPr="004E07CE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Ernst &amp;Young LLC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. The report was received based on the results of audit where the </w:t>
      </w:r>
      <w:r w:rsidRPr="004E07CE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unqualified audit opinion on the fairness of financial statements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was stated. </w:t>
      </w:r>
    </w:p>
    <w:p w14:paraId="6F524D47" w14:textId="68AFFFA7" w:rsidR="0065213F" w:rsidRDefault="0065213F" w:rsidP="00F46B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The </w:t>
      </w:r>
      <w:r w:rsidRPr="0065213F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report on assessing the</w:t>
      </w:r>
      <w:r w:rsidRPr="0065213F">
        <w:rPr>
          <w:lang w:val="en-US"/>
        </w:rPr>
        <w:t xml:space="preserve"> </w:t>
      </w:r>
      <w:r w:rsidRPr="0065213F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fairness of data contained in the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accounting statements for 2019 under </w:t>
      </w:r>
      <w:r w:rsidR="009113F6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RAS</w:t>
      </w:r>
      <w:r w:rsid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, was approved by the Minutes No.3 of April 15, </w:t>
      </w:r>
      <w:r w:rsid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lastRenderedPageBreak/>
        <w:t xml:space="preserve">2020 of the Audit Committee of the Company, </w:t>
      </w:r>
      <w:r w:rsidR="009113F6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according to which</w:t>
      </w:r>
      <w:r w:rsid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the statements are recognized </w:t>
      </w:r>
      <w:r w:rsidR="00F46B91" w:rsidRP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as faithful</w:t>
      </w:r>
      <w:r w:rsid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 w:rsidR="00F46B91" w:rsidRP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in all material aspects</w:t>
      </w:r>
      <w:r w:rsidR="00F46B91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.</w:t>
      </w:r>
    </w:p>
    <w:p w14:paraId="3D9F8939" w14:textId="599AA207" w:rsidR="00F46B91" w:rsidRPr="00F46B91" w:rsidRDefault="00F46B91" w:rsidP="00540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In accordance with Section 47 and Item 11 </w:t>
      </w:r>
      <w:r w:rsidR="00F07AC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Clause 1 Section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48 of Federal Law </w:t>
      </w:r>
      <w:r w:rsidR="00F07AC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of December 26, 1995 No. 208-FZ “On Joint Stock Companies”, Item 10 Clause 10.2 Section 10 of the Regulations of the Company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,</w:t>
      </w:r>
      <w:r w:rsidR="00F07AC9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</w:t>
      </w:r>
      <w:r w:rsidR="00B05EB2" w:rsidRP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pproval of the Annual 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Accounting (</w:t>
      </w:r>
      <w:r w:rsidR="00B05EB2" w:rsidRP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Financial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)</w:t>
      </w:r>
      <w:r w:rsidR="00B05EB2" w:rsidRP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Statements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of the Company relate</w:t>
      </w:r>
      <w:r w:rsidR="0042234E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s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to the</w:t>
      </w:r>
      <w:r w:rsidR="00B05EB2" w:rsidRPr="00B05EB2">
        <w:rPr>
          <w:lang w:val="en-US"/>
        </w:rPr>
        <w:t xml:space="preserve"> </w:t>
      </w:r>
      <w:r w:rsidR="00B05EB2" w:rsidRP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reference of the General Meeting of Shareholders</w:t>
      </w:r>
      <w:r w:rsidR="00B05EB2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.</w:t>
      </w:r>
    </w:p>
    <w:p w14:paraId="67248E02" w14:textId="00FABABE" w:rsidR="0054089E" w:rsidRPr="00AF303A" w:rsidRDefault="00AF303A" w:rsidP="005408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The</w:t>
      </w:r>
      <w:r w:rsidRPr="00AF303A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Board</w:t>
      </w:r>
      <w:r w:rsidRPr="00AF303A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of Directors of PJSC Kubanenergo recommended the Annual General Meeting of Shareholders of PJSC Kubanenergo to approve the annual accounting (financial) statements of the Company for 2019, i</w:t>
      </w:r>
      <w:r w:rsidRPr="00AF303A"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>n accordance with the decision of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val="en-US" w:eastAsia="ru-RU"/>
        </w:rPr>
        <w:t xml:space="preserve"> the Board of Directors of April 28, 2020 (Minutes No. 386/2020 of April 30, 2020). </w:t>
      </w:r>
    </w:p>
    <w:p w14:paraId="19E51051" w14:textId="77777777" w:rsidR="00415288" w:rsidRPr="00415288" w:rsidRDefault="00415288" w:rsidP="00415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152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 accordance with Clause 2 Section 49 of Federal Law “On Joint Stock Companies”, the decision on the current issue requires a majority vote of shareholders-holders of voting shares of the Company participating in the meeting of the Company. </w:t>
      </w:r>
    </w:p>
    <w:p w14:paraId="0E243B7E" w14:textId="0404A4B5" w:rsidR="0054089E" w:rsidRPr="00415288" w:rsidRDefault="00415288" w:rsidP="00415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4152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Accordingly, the Annual General Meeting of Shareholders of PJSC Kubanenergo is invited to </w:t>
      </w:r>
      <w:proofErr w:type="gramStart"/>
      <w:r w:rsidRPr="004152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make a decision</w:t>
      </w:r>
      <w:proofErr w:type="gramEnd"/>
      <w:r w:rsidRPr="004152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on this item.</w:t>
      </w:r>
    </w:p>
    <w:p w14:paraId="1F0B1C61" w14:textId="77777777" w:rsidR="0054089E" w:rsidRPr="00415288" w:rsidRDefault="0054089E" w:rsidP="004B3954">
      <w:pPr>
        <w:spacing w:after="120" w:line="240" w:lineRule="auto"/>
        <w:ind w:left="283" w:right="-44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sectPr w:rsidR="0054089E" w:rsidRPr="0041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5ED"/>
    <w:rsid w:val="00036E1A"/>
    <w:rsid w:val="0009322A"/>
    <w:rsid w:val="000D6FA2"/>
    <w:rsid w:val="000F4665"/>
    <w:rsid w:val="001062EF"/>
    <w:rsid w:val="001A7AED"/>
    <w:rsid w:val="001B7D79"/>
    <w:rsid w:val="001D15A4"/>
    <w:rsid w:val="00234F76"/>
    <w:rsid w:val="00241BC2"/>
    <w:rsid w:val="002A0852"/>
    <w:rsid w:val="003155ED"/>
    <w:rsid w:val="003E4B17"/>
    <w:rsid w:val="00401B04"/>
    <w:rsid w:val="00415288"/>
    <w:rsid w:val="0042234E"/>
    <w:rsid w:val="004A5273"/>
    <w:rsid w:val="004B3954"/>
    <w:rsid w:val="004E07CE"/>
    <w:rsid w:val="00525753"/>
    <w:rsid w:val="0054089E"/>
    <w:rsid w:val="005A7CFE"/>
    <w:rsid w:val="005E3E5E"/>
    <w:rsid w:val="006425F9"/>
    <w:rsid w:val="0065213F"/>
    <w:rsid w:val="00675A05"/>
    <w:rsid w:val="006D53DB"/>
    <w:rsid w:val="006F5383"/>
    <w:rsid w:val="00711901"/>
    <w:rsid w:val="00725347"/>
    <w:rsid w:val="007815A3"/>
    <w:rsid w:val="007B0917"/>
    <w:rsid w:val="008C6695"/>
    <w:rsid w:val="009023FD"/>
    <w:rsid w:val="009113F6"/>
    <w:rsid w:val="00927B6B"/>
    <w:rsid w:val="00985A6F"/>
    <w:rsid w:val="009A61B9"/>
    <w:rsid w:val="009D64B8"/>
    <w:rsid w:val="00AD5E4B"/>
    <w:rsid w:val="00AF303A"/>
    <w:rsid w:val="00B05EB2"/>
    <w:rsid w:val="00B34F94"/>
    <w:rsid w:val="00B87721"/>
    <w:rsid w:val="00B94793"/>
    <w:rsid w:val="00BE5F27"/>
    <w:rsid w:val="00C11660"/>
    <w:rsid w:val="00D41A95"/>
    <w:rsid w:val="00DC6F79"/>
    <w:rsid w:val="00EE467C"/>
    <w:rsid w:val="00F07AC9"/>
    <w:rsid w:val="00F46B91"/>
    <w:rsid w:val="00FA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53EA"/>
  <w15:docId w15:val="{7296D857-5C13-4640-9A15-262957F0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08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Руссу О.В.</dc:creator>
  <cp:lastModifiedBy>Наталья Роговая</cp:lastModifiedBy>
  <cp:revision>31</cp:revision>
  <dcterms:created xsi:type="dcterms:W3CDTF">2018-04-24T10:05:00Z</dcterms:created>
  <dcterms:modified xsi:type="dcterms:W3CDTF">2020-08-19T17:23:00Z</dcterms:modified>
</cp:coreProperties>
</file>