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FD" w:rsidRPr="00BA48E2" w:rsidRDefault="00B63D3D" w:rsidP="00EE5DFD">
      <w:pPr>
        <w:jc w:val="right"/>
        <w:rPr>
          <w:lang w:val="en-US"/>
        </w:rPr>
      </w:pPr>
      <w:r>
        <w:rPr>
          <w:lang w:val="en-US"/>
        </w:rPr>
        <w:t xml:space="preserve">2 </w:t>
      </w:r>
      <w:proofErr w:type="spellStart"/>
      <w:r>
        <w:rPr>
          <w:lang w:val="en-US"/>
        </w:rPr>
        <w:t>Stavropolskaya</w:t>
      </w:r>
      <w:proofErr w:type="spellEnd"/>
      <w:r>
        <w:rPr>
          <w:lang w:val="en-US"/>
        </w:rPr>
        <w:t xml:space="preserve"> St., Krasnodar 350033</w:t>
      </w:r>
    </w:p>
    <w:p w:rsidR="00EE5DFD" w:rsidRPr="00BA48E2" w:rsidRDefault="00EE5DFD" w:rsidP="00EE5DFD">
      <w:pPr>
        <w:jc w:val="right"/>
        <w:rPr>
          <w:lang w:val="en-US"/>
        </w:rPr>
      </w:pPr>
      <w:r w:rsidRPr="00BA48E2">
        <w:rPr>
          <w:lang w:val="en-US"/>
        </w:rPr>
        <w:t>Phone: (86</w:t>
      </w:r>
      <w:r w:rsidR="00B63D3D">
        <w:rPr>
          <w:lang w:val="en-US"/>
        </w:rPr>
        <w:t>1</w:t>
      </w:r>
      <w:r w:rsidRPr="00BA48E2">
        <w:rPr>
          <w:lang w:val="en-US"/>
        </w:rPr>
        <w:t xml:space="preserve">) </w:t>
      </w:r>
      <w:r w:rsidR="00B63D3D">
        <w:rPr>
          <w:lang w:val="en-US"/>
        </w:rPr>
        <w:t>268</w:t>
      </w:r>
      <w:r w:rsidRPr="00BA48E2">
        <w:rPr>
          <w:lang w:val="en-US"/>
        </w:rPr>
        <w:t>-</w:t>
      </w:r>
      <w:r w:rsidR="00B63D3D">
        <w:rPr>
          <w:lang w:val="en-US"/>
        </w:rPr>
        <w:t>59</w:t>
      </w:r>
      <w:r w:rsidRPr="00BA48E2">
        <w:rPr>
          <w:lang w:val="en-US"/>
        </w:rPr>
        <w:t>-</w:t>
      </w:r>
      <w:r w:rsidR="00B63D3D">
        <w:rPr>
          <w:lang w:val="en-US"/>
        </w:rPr>
        <w:t>13</w:t>
      </w:r>
      <w:r w:rsidRPr="00BA48E2">
        <w:rPr>
          <w:lang w:val="en-US"/>
        </w:rPr>
        <w:t>, fax: (86</w:t>
      </w:r>
      <w:r w:rsidR="00B63D3D">
        <w:rPr>
          <w:lang w:val="en-US"/>
        </w:rPr>
        <w:t>1</w:t>
      </w:r>
      <w:r w:rsidRPr="00BA48E2">
        <w:rPr>
          <w:lang w:val="en-US"/>
        </w:rPr>
        <w:t>) 2</w:t>
      </w:r>
      <w:r w:rsidR="00B63D3D">
        <w:rPr>
          <w:lang w:val="en-US"/>
        </w:rPr>
        <w:t>68</w:t>
      </w:r>
      <w:r w:rsidRPr="00BA48E2">
        <w:rPr>
          <w:lang w:val="en-US"/>
        </w:rPr>
        <w:t>-</w:t>
      </w:r>
      <w:r w:rsidR="00B63D3D">
        <w:rPr>
          <w:lang w:val="en-US"/>
        </w:rPr>
        <w:t>24</w:t>
      </w:r>
      <w:r w:rsidRPr="00BA48E2">
        <w:rPr>
          <w:lang w:val="en-US"/>
        </w:rPr>
        <w:t>-</w:t>
      </w:r>
      <w:r w:rsidR="00B63D3D">
        <w:rPr>
          <w:lang w:val="en-US"/>
        </w:rPr>
        <w:t>93</w:t>
      </w:r>
    </w:p>
    <w:p w:rsidR="00EE5DFD" w:rsidRPr="00BA48E2" w:rsidRDefault="00B63D3D" w:rsidP="00EE5DFD">
      <w:pPr>
        <w:jc w:val="right"/>
        <w:rPr>
          <w:lang w:val="en-US"/>
        </w:rPr>
      </w:pPr>
      <w:r>
        <w:rPr>
          <w:lang w:val="en-US"/>
        </w:rPr>
        <w:t>Teletype: 211292 KAHBA</w:t>
      </w:r>
    </w:p>
    <w:p w:rsidR="00EE5DFD" w:rsidRPr="00BA48E2" w:rsidRDefault="00EE5DFD" w:rsidP="00EE5DFD">
      <w:pPr>
        <w:jc w:val="right"/>
        <w:rPr>
          <w:lang w:val="en-US"/>
        </w:rPr>
      </w:pPr>
      <w:proofErr w:type="gramStart"/>
      <w:r w:rsidRPr="00BA48E2">
        <w:rPr>
          <w:lang w:val="en-US"/>
        </w:rPr>
        <w:t>e-mail</w:t>
      </w:r>
      <w:proofErr w:type="gramEnd"/>
      <w:r w:rsidRPr="00BA48E2">
        <w:rPr>
          <w:lang w:val="en-US"/>
        </w:rPr>
        <w:t xml:space="preserve">: </w:t>
      </w:r>
      <w:hyperlink r:id="rId8" w:history="1">
        <w:r w:rsidR="00B63D3D" w:rsidRPr="00F33700">
          <w:rPr>
            <w:rStyle w:val="a3"/>
            <w:lang w:val="en-US"/>
          </w:rPr>
          <w:t>telet@kuban.elektra.ru</w:t>
        </w:r>
      </w:hyperlink>
    </w:p>
    <w:p w:rsidR="00EE5DFD" w:rsidRPr="00BA48E2" w:rsidRDefault="00EE5DFD" w:rsidP="00EE5DFD">
      <w:pPr>
        <w:jc w:val="center"/>
        <w:rPr>
          <w:sz w:val="28"/>
          <w:szCs w:val="28"/>
          <w:lang w:val="en-US"/>
        </w:rPr>
      </w:pPr>
    </w:p>
    <w:p w:rsidR="00EE5DFD" w:rsidRPr="00BA48E2" w:rsidRDefault="00EE5DFD" w:rsidP="00EE5DFD">
      <w:pPr>
        <w:jc w:val="center"/>
        <w:rPr>
          <w:sz w:val="28"/>
          <w:szCs w:val="28"/>
          <w:lang w:val="en-US"/>
        </w:rPr>
      </w:pPr>
    </w:p>
    <w:p w:rsidR="00D7084C" w:rsidRPr="00BA48E2" w:rsidRDefault="00EE5DFD" w:rsidP="00D7084C">
      <w:pPr>
        <w:jc w:val="center"/>
        <w:rPr>
          <w:b/>
          <w:sz w:val="28"/>
          <w:szCs w:val="28"/>
          <w:lang w:val="en-US"/>
        </w:rPr>
      </w:pPr>
      <w:r w:rsidRPr="00BA48E2">
        <w:rPr>
          <w:b/>
          <w:sz w:val="28"/>
          <w:szCs w:val="28"/>
          <w:lang w:val="en-US"/>
        </w:rPr>
        <w:t xml:space="preserve">Minutes of </w:t>
      </w:r>
      <w:r w:rsidR="00D7084C" w:rsidRPr="00BA48E2">
        <w:rPr>
          <w:b/>
          <w:sz w:val="28"/>
          <w:szCs w:val="28"/>
          <w:lang w:val="en-US"/>
        </w:rPr>
        <w:t>Board of Directors Meeting No.</w:t>
      </w:r>
      <w:r w:rsidR="00B63D3D">
        <w:rPr>
          <w:b/>
          <w:sz w:val="28"/>
          <w:szCs w:val="28"/>
          <w:lang w:val="en-US"/>
        </w:rPr>
        <w:t>140</w:t>
      </w:r>
      <w:r w:rsidR="00D7084C" w:rsidRPr="00BA48E2">
        <w:rPr>
          <w:b/>
          <w:sz w:val="28"/>
          <w:szCs w:val="28"/>
          <w:lang w:val="en-US"/>
        </w:rPr>
        <w:t xml:space="preserve">/2012 </w:t>
      </w:r>
    </w:p>
    <w:p w:rsidR="00EE5DFD" w:rsidRPr="00BA48E2" w:rsidRDefault="00EE5DFD" w:rsidP="00EE5DFD">
      <w:pPr>
        <w:jc w:val="center"/>
        <w:rPr>
          <w:b/>
          <w:sz w:val="28"/>
          <w:szCs w:val="28"/>
          <w:lang w:val="en-US"/>
        </w:rPr>
      </w:pPr>
      <w:r w:rsidRPr="00BA48E2">
        <w:rPr>
          <w:b/>
          <w:sz w:val="28"/>
          <w:szCs w:val="28"/>
          <w:lang w:val="en-US"/>
        </w:rPr>
        <w:t xml:space="preserve">Open </w:t>
      </w:r>
      <w:r w:rsidR="00D7084C">
        <w:rPr>
          <w:b/>
          <w:sz w:val="28"/>
          <w:szCs w:val="28"/>
          <w:lang w:val="en-US"/>
        </w:rPr>
        <w:t>j</w:t>
      </w:r>
      <w:r w:rsidRPr="00BA48E2">
        <w:rPr>
          <w:b/>
          <w:sz w:val="28"/>
          <w:szCs w:val="28"/>
          <w:lang w:val="en-US"/>
        </w:rPr>
        <w:t xml:space="preserve">oint </w:t>
      </w:r>
      <w:r w:rsidR="00D7084C">
        <w:rPr>
          <w:b/>
          <w:sz w:val="28"/>
          <w:szCs w:val="28"/>
          <w:lang w:val="en-US"/>
        </w:rPr>
        <w:t>s</w:t>
      </w:r>
      <w:r w:rsidRPr="00BA48E2">
        <w:rPr>
          <w:b/>
          <w:sz w:val="28"/>
          <w:szCs w:val="28"/>
          <w:lang w:val="en-US"/>
        </w:rPr>
        <w:t xml:space="preserve">tock </w:t>
      </w:r>
      <w:proofErr w:type="gramStart"/>
      <w:r w:rsidR="00D7084C">
        <w:rPr>
          <w:b/>
          <w:sz w:val="28"/>
          <w:szCs w:val="28"/>
          <w:lang w:val="en-US"/>
        </w:rPr>
        <w:t>c</w:t>
      </w:r>
      <w:r w:rsidRPr="00BA48E2">
        <w:rPr>
          <w:b/>
          <w:sz w:val="28"/>
          <w:szCs w:val="28"/>
          <w:lang w:val="en-US"/>
        </w:rPr>
        <w:t>ompany</w:t>
      </w:r>
      <w:proofErr w:type="gramEnd"/>
    </w:p>
    <w:p w:rsidR="00EE5DFD" w:rsidRPr="00D7084C" w:rsidRDefault="00D7084C" w:rsidP="00EE5DFD">
      <w:pPr>
        <w:jc w:val="center"/>
        <w:rPr>
          <w:b/>
          <w:sz w:val="28"/>
          <w:szCs w:val="28"/>
          <w:lang w:val="en-US"/>
        </w:rPr>
      </w:pPr>
      <w:proofErr w:type="gramStart"/>
      <w:r w:rsidRPr="00D7084C">
        <w:rPr>
          <w:b/>
          <w:sz w:val="28"/>
          <w:szCs w:val="28"/>
          <w:lang w:val="en-US"/>
        </w:rPr>
        <w:t>of</w:t>
      </w:r>
      <w:proofErr w:type="gramEnd"/>
      <w:r w:rsidRPr="00D7084C">
        <w:rPr>
          <w:b/>
          <w:sz w:val="28"/>
          <w:szCs w:val="28"/>
          <w:lang w:val="en-US"/>
        </w:rPr>
        <w:t xml:space="preserve"> power industry and electrification of Kuban</w:t>
      </w:r>
      <w:r w:rsidR="00E04FA4">
        <w:rPr>
          <w:b/>
          <w:sz w:val="28"/>
          <w:szCs w:val="28"/>
          <w:lang w:val="en-US"/>
        </w:rPr>
        <w:t xml:space="preserve"> (“Kubanenergo” JSC)</w:t>
      </w:r>
    </w:p>
    <w:p w:rsidR="00EE5DFD" w:rsidRPr="00BA48E2" w:rsidRDefault="00EE5DFD" w:rsidP="00EE5DFD">
      <w:pPr>
        <w:jc w:val="both"/>
        <w:rPr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76"/>
        <w:gridCol w:w="4786"/>
      </w:tblGrid>
      <w:tr w:rsidR="00EE5DFD" w:rsidRPr="00BA48E2" w:rsidTr="00B63D3D">
        <w:tc>
          <w:tcPr>
            <w:tcW w:w="3576" w:type="dxa"/>
            <w:shd w:val="clear" w:color="auto" w:fill="auto"/>
          </w:tcPr>
          <w:p w:rsidR="00EE5DFD" w:rsidRPr="00BA48E2" w:rsidRDefault="00EE5DFD" w:rsidP="00B63D3D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 w:rsidRPr="00BA48E2">
              <w:rPr>
                <w:sz w:val="28"/>
                <w:szCs w:val="28"/>
                <w:lang w:val="en-US"/>
              </w:rPr>
              <w:t>Date of meeting</w:t>
            </w:r>
          </w:p>
        </w:tc>
        <w:tc>
          <w:tcPr>
            <w:tcW w:w="4786" w:type="dxa"/>
            <w:shd w:val="clear" w:color="auto" w:fill="auto"/>
          </w:tcPr>
          <w:p w:rsidR="00EE5DFD" w:rsidRPr="00BA48E2" w:rsidRDefault="00E04FA4" w:rsidP="00E04FA4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  <w:r w:rsidR="00EE5DFD" w:rsidRPr="00BA48E2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  <w:lang w:val="en-US"/>
              </w:rPr>
              <w:t>7</w:t>
            </w:r>
            <w:r w:rsidR="00EE5DFD" w:rsidRPr="00BA48E2">
              <w:rPr>
                <w:sz w:val="28"/>
                <w:szCs w:val="28"/>
                <w:lang w:val="en-US"/>
              </w:rPr>
              <w:t>.2012</w:t>
            </w:r>
          </w:p>
        </w:tc>
      </w:tr>
      <w:tr w:rsidR="00EE5DFD" w:rsidRPr="00BA48E2" w:rsidTr="00B63D3D">
        <w:tc>
          <w:tcPr>
            <w:tcW w:w="3576" w:type="dxa"/>
            <w:shd w:val="clear" w:color="auto" w:fill="auto"/>
          </w:tcPr>
          <w:p w:rsidR="00EE5DFD" w:rsidRPr="00BA48E2" w:rsidRDefault="00EE5DFD" w:rsidP="00B63D3D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 w:rsidRPr="00BA48E2">
              <w:rPr>
                <w:sz w:val="28"/>
                <w:szCs w:val="28"/>
                <w:lang w:val="en-US"/>
              </w:rPr>
              <w:t>Form of holding the meeting</w:t>
            </w:r>
          </w:p>
        </w:tc>
        <w:tc>
          <w:tcPr>
            <w:tcW w:w="4786" w:type="dxa"/>
            <w:shd w:val="clear" w:color="auto" w:fill="auto"/>
          </w:tcPr>
          <w:p w:rsidR="00EE5DFD" w:rsidRPr="00BA48E2" w:rsidRDefault="00EE5DFD" w:rsidP="00B63D3D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 w:rsidRPr="00BA48E2">
              <w:rPr>
                <w:sz w:val="28"/>
                <w:szCs w:val="28"/>
                <w:lang w:val="en-US"/>
              </w:rPr>
              <w:t>Absentee voting (questionnaire)</w:t>
            </w:r>
          </w:p>
        </w:tc>
      </w:tr>
      <w:tr w:rsidR="00EE5DFD" w:rsidRPr="00E04FA4" w:rsidTr="00B63D3D">
        <w:tc>
          <w:tcPr>
            <w:tcW w:w="3576" w:type="dxa"/>
            <w:shd w:val="clear" w:color="auto" w:fill="auto"/>
          </w:tcPr>
          <w:p w:rsidR="00EE5DFD" w:rsidRPr="00BA48E2" w:rsidRDefault="00EE5DFD" w:rsidP="00B63D3D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 w:rsidRPr="00BA48E2">
              <w:rPr>
                <w:sz w:val="28"/>
                <w:szCs w:val="28"/>
                <w:lang w:val="en-US"/>
              </w:rPr>
              <w:t>Place of vote counting</w:t>
            </w:r>
          </w:p>
        </w:tc>
        <w:tc>
          <w:tcPr>
            <w:tcW w:w="4786" w:type="dxa"/>
            <w:shd w:val="clear" w:color="auto" w:fill="auto"/>
          </w:tcPr>
          <w:p w:rsidR="00EE5DFD" w:rsidRPr="00BA48E2" w:rsidRDefault="00D7084C" w:rsidP="00D7084C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Office 101, 2</w:t>
            </w:r>
            <w:r w:rsidR="00EE5DFD" w:rsidRPr="00BA48E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Stavropolskaya</w:t>
            </w:r>
            <w:proofErr w:type="spellEnd"/>
            <w:r w:rsidR="00EE5DFD" w:rsidRPr="00BA48E2">
              <w:rPr>
                <w:sz w:val="28"/>
                <w:szCs w:val="28"/>
                <w:lang w:val="en-US"/>
              </w:rPr>
              <w:t xml:space="preserve"> St., Krasnodar (postal address of “</w:t>
            </w:r>
            <w:r>
              <w:rPr>
                <w:sz w:val="28"/>
                <w:szCs w:val="28"/>
                <w:lang w:val="en-US"/>
              </w:rPr>
              <w:t>Kubanenergo</w:t>
            </w:r>
            <w:r w:rsidR="00EE5DFD" w:rsidRPr="00BA48E2">
              <w:rPr>
                <w:sz w:val="28"/>
                <w:szCs w:val="28"/>
                <w:lang w:val="en-US"/>
              </w:rPr>
              <w:t>”, JSC)</w:t>
            </w:r>
          </w:p>
        </w:tc>
      </w:tr>
      <w:tr w:rsidR="00EE5DFD" w:rsidRPr="00BA48E2" w:rsidTr="00B63D3D">
        <w:tc>
          <w:tcPr>
            <w:tcW w:w="3576" w:type="dxa"/>
            <w:shd w:val="clear" w:color="auto" w:fill="auto"/>
          </w:tcPr>
          <w:p w:rsidR="00EE5DFD" w:rsidRPr="00BA48E2" w:rsidRDefault="00EE5DFD" w:rsidP="00B63D3D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 w:rsidRPr="00BA48E2">
              <w:rPr>
                <w:sz w:val="28"/>
                <w:szCs w:val="28"/>
                <w:lang w:val="en-US"/>
              </w:rPr>
              <w:t>Date of vote counting</w:t>
            </w:r>
          </w:p>
        </w:tc>
        <w:tc>
          <w:tcPr>
            <w:tcW w:w="4786" w:type="dxa"/>
            <w:shd w:val="clear" w:color="auto" w:fill="auto"/>
          </w:tcPr>
          <w:p w:rsidR="00EE5DFD" w:rsidRPr="00BA48E2" w:rsidRDefault="00E04FA4" w:rsidP="00E04FA4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  <w:r w:rsidR="00EE5DFD" w:rsidRPr="00BA48E2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  <w:lang w:val="en-US"/>
              </w:rPr>
              <w:t>7</w:t>
            </w:r>
            <w:r w:rsidR="00EE5DFD" w:rsidRPr="00BA48E2">
              <w:rPr>
                <w:sz w:val="28"/>
                <w:szCs w:val="28"/>
                <w:lang w:val="en-US"/>
              </w:rPr>
              <w:t>.2012 17:00</w:t>
            </w:r>
          </w:p>
        </w:tc>
      </w:tr>
      <w:tr w:rsidR="00EE5DFD" w:rsidRPr="00BA48E2" w:rsidTr="00B63D3D">
        <w:tc>
          <w:tcPr>
            <w:tcW w:w="3576" w:type="dxa"/>
            <w:shd w:val="clear" w:color="auto" w:fill="auto"/>
          </w:tcPr>
          <w:p w:rsidR="00EE5DFD" w:rsidRPr="00BA48E2" w:rsidRDefault="00EE5DFD" w:rsidP="00B63D3D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 w:rsidRPr="00BA48E2">
              <w:rPr>
                <w:sz w:val="28"/>
                <w:szCs w:val="28"/>
                <w:lang w:val="en-US"/>
              </w:rPr>
              <w:t>Date of drawing up minutes</w:t>
            </w:r>
          </w:p>
        </w:tc>
        <w:tc>
          <w:tcPr>
            <w:tcW w:w="4786" w:type="dxa"/>
            <w:shd w:val="clear" w:color="auto" w:fill="auto"/>
          </w:tcPr>
          <w:p w:rsidR="00EE5DFD" w:rsidRPr="00BA48E2" w:rsidRDefault="00E04FA4" w:rsidP="00B63D3D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  <w:r w:rsidR="00EE5DFD" w:rsidRPr="00BA48E2">
              <w:rPr>
                <w:sz w:val="28"/>
                <w:szCs w:val="28"/>
                <w:lang w:val="en-US"/>
              </w:rPr>
              <w:t>.08.2012</w:t>
            </w:r>
          </w:p>
        </w:tc>
      </w:tr>
    </w:tbl>
    <w:p w:rsidR="00EE5DFD" w:rsidRPr="00BA48E2" w:rsidRDefault="00EE5DFD" w:rsidP="00EE5DFD">
      <w:pPr>
        <w:jc w:val="both"/>
        <w:rPr>
          <w:sz w:val="28"/>
          <w:szCs w:val="28"/>
          <w:lang w:val="en-US"/>
        </w:rPr>
      </w:pPr>
    </w:p>
    <w:p w:rsidR="00EE5DFD" w:rsidRPr="00BA48E2" w:rsidRDefault="00EE5DFD" w:rsidP="00EE5DFD">
      <w:pPr>
        <w:jc w:val="both"/>
        <w:rPr>
          <w:sz w:val="28"/>
          <w:szCs w:val="28"/>
          <w:lang w:val="en-US"/>
        </w:rPr>
      </w:pPr>
    </w:p>
    <w:p w:rsidR="00EE5DFD" w:rsidRPr="00BA48E2" w:rsidRDefault="00EE5DFD" w:rsidP="00EE5DFD">
      <w:pPr>
        <w:jc w:val="both"/>
        <w:rPr>
          <w:sz w:val="28"/>
          <w:szCs w:val="28"/>
          <w:lang w:val="en-US"/>
        </w:rPr>
      </w:pPr>
      <w:r w:rsidRPr="00BA48E2">
        <w:rPr>
          <w:b/>
          <w:sz w:val="28"/>
          <w:szCs w:val="28"/>
          <w:lang w:val="en-US"/>
        </w:rPr>
        <w:t>Number of Board of Directors Members:</w:t>
      </w:r>
      <w:r w:rsidRPr="00BA48E2">
        <w:rPr>
          <w:sz w:val="28"/>
          <w:szCs w:val="28"/>
          <w:lang w:val="en-US"/>
        </w:rPr>
        <w:t xml:space="preserve"> 11</w:t>
      </w:r>
    </w:p>
    <w:p w:rsidR="00EE5DFD" w:rsidRPr="00BA48E2" w:rsidRDefault="00EE5DFD" w:rsidP="00EE5DFD">
      <w:pPr>
        <w:jc w:val="both"/>
        <w:rPr>
          <w:sz w:val="28"/>
          <w:szCs w:val="28"/>
          <w:lang w:val="en-US"/>
        </w:rPr>
      </w:pPr>
    </w:p>
    <w:p w:rsidR="00EE5DFD" w:rsidRPr="00BA48E2" w:rsidRDefault="00EE5DFD" w:rsidP="00EE5DFD">
      <w:pPr>
        <w:tabs>
          <w:tab w:val="left" w:pos="5529"/>
        </w:tabs>
        <w:jc w:val="both"/>
        <w:rPr>
          <w:sz w:val="28"/>
          <w:szCs w:val="28"/>
          <w:lang w:val="en-US"/>
        </w:rPr>
      </w:pPr>
      <w:r w:rsidRPr="00BA48E2">
        <w:rPr>
          <w:b/>
          <w:sz w:val="28"/>
          <w:szCs w:val="28"/>
          <w:lang w:val="en-US"/>
        </w:rPr>
        <w:t>Questionnaires were submitted by</w:t>
      </w:r>
      <w:proofErr w:type="gramStart"/>
      <w:r w:rsidRPr="00BA48E2">
        <w:rPr>
          <w:b/>
          <w:sz w:val="28"/>
          <w:szCs w:val="28"/>
          <w:lang w:val="en-US"/>
        </w:rPr>
        <w:t>:</w:t>
      </w:r>
      <w:r w:rsidRPr="00BA48E2">
        <w:rPr>
          <w:sz w:val="28"/>
          <w:szCs w:val="28"/>
          <w:lang w:val="en-US"/>
        </w:rPr>
        <w:t>.</w:t>
      </w:r>
      <w:proofErr w:type="spellStart"/>
      <w:proofErr w:type="gramEnd"/>
      <w:r w:rsidR="00E04FA4">
        <w:rPr>
          <w:sz w:val="28"/>
          <w:szCs w:val="28"/>
          <w:lang w:val="en-US"/>
        </w:rPr>
        <w:t>Demidov</w:t>
      </w:r>
      <w:proofErr w:type="spellEnd"/>
      <w:r w:rsidR="00E04FA4">
        <w:rPr>
          <w:sz w:val="28"/>
          <w:szCs w:val="28"/>
          <w:lang w:val="en-US"/>
        </w:rPr>
        <w:t xml:space="preserve"> A.V., Katina </w:t>
      </w:r>
      <w:proofErr w:type="spellStart"/>
      <w:r w:rsidR="00E04FA4">
        <w:rPr>
          <w:sz w:val="28"/>
          <w:szCs w:val="28"/>
          <w:lang w:val="en-US"/>
        </w:rPr>
        <w:t>A.Yu</w:t>
      </w:r>
      <w:proofErr w:type="spellEnd"/>
      <w:r w:rsidR="00E04FA4">
        <w:rPr>
          <w:sz w:val="28"/>
          <w:szCs w:val="28"/>
          <w:lang w:val="en-US"/>
        </w:rPr>
        <w:t xml:space="preserve">., </w:t>
      </w:r>
      <w:proofErr w:type="spellStart"/>
      <w:r w:rsidR="00E04FA4">
        <w:rPr>
          <w:sz w:val="28"/>
          <w:szCs w:val="28"/>
          <w:lang w:val="en-US"/>
        </w:rPr>
        <w:t>Perepyolkin</w:t>
      </w:r>
      <w:proofErr w:type="spellEnd"/>
      <w:r w:rsidR="00E04FA4">
        <w:rPr>
          <w:sz w:val="28"/>
          <w:szCs w:val="28"/>
          <w:lang w:val="en-US"/>
        </w:rPr>
        <w:t xml:space="preserve"> </w:t>
      </w:r>
      <w:proofErr w:type="spellStart"/>
      <w:r w:rsidR="00E04FA4">
        <w:rPr>
          <w:sz w:val="28"/>
          <w:szCs w:val="28"/>
          <w:lang w:val="en-US"/>
        </w:rPr>
        <w:t>A.Yu</w:t>
      </w:r>
      <w:proofErr w:type="spellEnd"/>
      <w:r w:rsidR="00E04FA4">
        <w:rPr>
          <w:sz w:val="28"/>
          <w:szCs w:val="28"/>
          <w:lang w:val="en-US"/>
        </w:rPr>
        <w:t xml:space="preserve">., </w:t>
      </w:r>
      <w:proofErr w:type="spellStart"/>
      <w:r w:rsidR="00E04FA4">
        <w:rPr>
          <w:sz w:val="28"/>
          <w:szCs w:val="28"/>
          <w:lang w:val="en-US"/>
        </w:rPr>
        <w:t>Pyatigor</w:t>
      </w:r>
      <w:proofErr w:type="spellEnd"/>
      <w:r w:rsidR="00E04FA4">
        <w:rPr>
          <w:sz w:val="28"/>
          <w:szCs w:val="28"/>
          <w:lang w:val="en-US"/>
        </w:rPr>
        <w:t xml:space="preserve"> A.M., </w:t>
      </w:r>
      <w:proofErr w:type="spellStart"/>
      <w:r w:rsidR="00E04FA4">
        <w:rPr>
          <w:sz w:val="28"/>
          <w:szCs w:val="28"/>
          <w:lang w:val="en-US"/>
        </w:rPr>
        <w:t>Romeiko</w:t>
      </w:r>
      <w:proofErr w:type="spellEnd"/>
      <w:r w:rsidR="00E04FA4">
        <w:rPr>
          <w:sz w:val="28"/>
          <w:szCs w:val="28"/>
          <w:lang w:val="en-US"/>
        </w:rPr>
        <w:t xml:space="preserve"> D.I., </w:t>
      </w:r>
      <w:proofErr w:type="spellStart"/>
      <w:r w:rsidR="00E04FA4">
        <w:rPr>
          <w:sz w:val="28"/>
          <w:szCs w:val="28"/>
          <w:lang w:val="en-US"/>
        </w:rPr>
        <w:t>Sultanov</w:t>
      </w:r>
      <w:proofErr w:type="spellEnd"/>
      <w:r w:rsidR="00E04FA4">
        <w:rPr>
          <w:sz w:val="28"/>
          <w:szCs w:val="28"/>
          <w:lang w:val="en-US"/>
        </w:rPr>
        <w:t xml:space="preserve"> G.A., </w:t>
      </w:r>
      <w:proofErr w:type="spellStart"/>
      <w:r w:rsidR="00E04FA4">
        <w:rPr>
          <w:sz w:val="28"/>
          <w:szCs w:val="28"/>
          <w:lang w:val="en-US"/>
        </w:rPr>
        <w:t>Shvets</w:t>
      </w:r>
      <w:proofErr w:type="spellEnd"/>
      <w:r w:rsidR="00E04FA4">
        <w:rPr>
          <w:sz w:val="28"/>
          <w:szCs w:val="28"/>
          <w:lang w:val="en-US"/>
        </w:rPr>
        <w:t xml:space="preserve"> N.N., </w:t>
      </w:r>
      <w:proofErr w:type="spellStart"/>
      <w:r w:rsidR="00E04FA4">
        <w:rPr>
          <w:sz w:val="28"/>
          <w:szCs w:val="28"/>
          <w:lang w:val="en-US"/>
        </w:rPr>
        <w:t>Yurchyuk</w:t>
      </w:r>
      <w:proofErr w:type="spellEnd"/>
      <w:r w:rsidR="00E04FA4">
        <w:rPr>
          <w:sz w:val="28"/>
          <w:szCs w:val="28"/>
          <w:lang w:val="en-US"/>
        </w:rPr>
        <w:t xml:space="preserve"> S.E.</w:t>
      </w:r>
    </w:p>
    <w:p w:rsidR="00EE5DFD" w:rsidRPr="00BA48E2" w:rsidRDefault="00EE5DFD" w:rsidP="00EE5DFD">
      <w:pPr>
        <w:jc w:val="both"/>
        <w:rPr>
          <w:sz w:val="28"/>
          <w:szCs w:val="28"/>
          <w:lang w:val="en-US"/>
        </w:rPr>
      </w:pPr>
    </w:p>
    <w:p w:rsidR="00EE5DFD" w:rsidRPr="00BA48E2" w:rsidRDefault="00EE5DFD" w:rsidP="00EE5DFD">
      <w:pPr>
        <w:tabs>
          <w:tab w:val="left" w:pos="5529"/>
        </w:tabs>
        <w:jc w:val="both"/>
        <w:rPr>
          <w:sz w:val="28"/>
          <w:szCs w:val="28"/>
          <w:lang w:val="en-US"/>
        </w:rPr>
      </w:pPr>
      <w:r w:rsidRPr="00BA48E2">
        <w:rPr>
          <w:b/>
          <w:sz w:val="28"/>
          <w:szCs w:val="28"/>
          <w:lang w:val="en-US"/>
        </w:rPr>
        <w:t>Questionnaires were not submitted by:</w:t>
      </w:r>
      <w:r w:rsidRPr="00BA48E2">
        <w:rPr>
          <w:sz w:val="28"/>
          <w:szCs w:val="28"/>
          <w:lang w:val="en-US"/>
        </w:rPr>
        <w:t xml:space="preserve"> </w:t>
      </w:r>
      <w:proofErr w:type="spellStart"/>
      <w:r w:rsidR="00E04FA4">
        <w:rPr>
          <w:sz w:val="28"/>
          <w:szCs w:val="28"/>
          <w:lang w:val="en-US"/>
        </w:rPr>
        <w:t>Bannikova</w:t>
      </w:r>
      <w:proofErr w:type="spellEnd"/>
      <w:r w:rsidR="00E04FA4">
        <w:rPr>
          <w:sz w:val="28"/>
          <w:szCs w:val="28"/>
          <w:lang w:val="en-US"/>
        </w:rPr>
        <w:t xml:space="preserve"> V.V., </w:t>
      </w:r>
      <w:proofErr w:type="spellStart"/>
      <w:r w:rsidR="00E04FA4">
        <w:rPr>
          <w:sz w:val="28"/>
          <w:szCs w:val="28"/>
          <w:lang w:val="en-US"/>
        </w:rPr>
        <w:t>Gilaev</w:t>
      </w:r>
      <w:proofErr w:type="spellEnd"/>
      <w:r w:rsidR="00E04FA4">
        <w:rPr>
          <w:sz w:val="28"/>
          <w:szCs w:val="28"/>
          <w:lang w:val="en-US"/>
        </w:rPr>
        <w:t xml:space="preserve"> G.G., </w:t>
      </w:r>
      <w:proofErr w:type="spellStart"/>
      <w:r w:rsidR="00E04FA4">
        <w:rPr>
          <w:sz w:val="28"/>
          <w:szCs w:val="28"/>
          <w:lang w:val="en-US"/>
        </w:rPr>
        <w:t>Pukhalskiy</w:t>
      </w:r>
      <w:proofErr w:type="spellEnd"/>
      <w:r w:rsidR="00E04FA4">
        <w:rPr>
          <w:sz w:val="28"/>
          <w:szCs w:val="28"/>
          <w:lang w:val="en-US"/>
        </w:rPr>
        <w:t xml:space="preserve"> A.A.</w:t>
      </w:r>
    </w:p>
    <w:p w:rsidR="00EE5DFD" w:rsidRPr="00BA48E2" w:rsidRDefault="00EE5DFD" w:rsidP="00EE5DFD">
      <w:pPr>
        <w:pStyle w:val="ConsNormal"/>
        <w:spacing w:before="40" w:after="40"/>
        <w:ind w:righ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2">
        <w:rPr>
          <w:rFonts w:ascii="Times New Roman" w:hAnsi="Times New Roman" w:cs="Times New Roman"/>
          <w:sz w:val="28"/>
          <w:szCs w:val="28"/>
          <w:lang w:val="en-US"/>
        </w:rPr>
        <w:t>According to requirements of paragraph 7.3 of Regulation on order of conveying and holding meetings of “</w:t>
      </w:r>
      <w:r w:rsidR="00D7084C">
        <w:rPr>
          <w:rFonts w:ascii="Times New Roman" w:hAnsi="Times New Roman" w:cs="Times New Roman"/>
          <w:sz w:val="28"/>
          <w:szCs w:val="28"/>
          <w:lang w:val="en-US"/>
        </w:rPr>
        <w:t>Kubanenergo</w:t>
      </w:r>
      <w:r w:rsidRPr="00BA48E2">
        <w:rPr>
          <w:rFonts w:ascii="Times New Roman" w:hAnsi="Times New Roman" w:cs="Times New Roman"/>
          <w:sz w:val="28"/>
          <w:szCs w:val="28"/>
          <w:lang w:val="en-US"/>
        </w:rPr>
        <w:t>”, JSC Board of Directors approved by decision of annual General meeting of “</w:t>
      </w:r>
      <w:r w:rsidR="00D7084C">
        <w:rPr>
          <w:rFonts w:ascii="Times New Roman" w:hAnsi="Times New Roman" w:cs="Times New Roman"/>
          <w:sz w:val="28"/>
          <w:szCs w:val="28"/>
          <w:lang w:val="en-US"/>
        </w:rPr>
        <w:t>Kubanenergo</w:t>
      </w:r>
      <w:r w:rsidRPr="00BA48E2">
        <w:rPr>
          <w:rFonts w:ascii="Times New Roman" w:hAnsi="Times New Roman" w:cs="Times New Roman"/>
          <w:sz w:val="28"/>
          <w:szCs w:val="28"/>
          <w:lang w:val="en-US"/>
        </w:rPr>
        <w:t xml:space="preserve">”, JSC shareholders dated </w:t>
      </w:r>
      <w:r w:rsidR="00D7084C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BA48E2">
        <w:rPr>
          <w:rFonts w:ascii="Times New Roman" w:hAnsi="Times New Roman" w:cs="Times New Roman"/>
          <w:sz w:val="28"/>
          <w:szCs w:val="28"/>
          <w:lang w:val="en-US"/>
        </w:rPr>
        <w:t>.06.201</w:t>
      </w:r>
      <w:r w:rsidR="00D7084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BA48E2">
        <w:rPr>
          <w:rFonts w:ascii="Times New Roman" w:hAnsi="Times New Roman" w:cs="Times New Roman"/>
          <w:sz w:val="28"/>
          <w:szCs w:val="28"/>
          <w:lang w:val="en-US"/>
        </w:rPr>
        <w:t>, minutes No.</w:t>
      </w:r>
      <w:r w:rsidR="00D7084C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Pr="00BA48E2">
        <w:rPr>
          <w:rFonts w:ascii="Times New Roman" w:hAnsi="Times New Roman" w:cs="Times New Roman"/>
          <w:sz w:val="28"/>
          <w:szCs w:val="28"/>
          <w:lang w:val="en-US"/>
        </w:rPr>
        <w:t xml:space="preserve">, quorum for holding the meeting should count at least half of elected members of Board of Directors. </w:t>
      </w:r>
    </w:p>
    <w:p w:rsidR="00EE5DFD" w:rsidRPr="00BA48E2" w:rsidRDefault="00EE5DFD" w:rsidP="00EE5DFD">
      <w:pPr>
        <w:pStyle w:val="ConsNormal"/>
        <w:spacing w:before="40" w:after="40"/>
        <w:ind w:righ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2">
        <w:rPr>
          <w:rFonts w:ascii="Times New Roman" w:hAnsi="Times New Roman" w:cs="Times New Roman"/>
          <w:sz w:val="28"/>
          <w:szCs w:val="28"/>
          <w:lang w:val="en-US"/>
        </w:rPr>
        <w:t>Quorum is present</w:t>
      </w:r>
    </w:p>
    <w:p w:rsidR="00EE5DFD" w:rsidRPr="00BA48E2" w:rsidRDefault="00EE5DFD" w:rsidP="00EE5DFD">
      <w:pPr>
        <w:pStyle w:val="ConsNormal"/>
        <w:spacing w:before="40" w:after="40"/>
        <w:ind w:righ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5DFD" w:rsidRPr="00BA48E2" w:rsidRDefault="00EE5DFD" w:rsidP="00EE5DFD">
      <w:pPr>
        <w:pStyle w:val="ConsNormal"/>
        <w:spacing w:before="40" w:after="40"/>
        <w:ind w:righ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48E2">
        <w:rPr>
          <w:rFonts w:ascii="Times New Roman" w:hAnsi="Times New Roman" w:cs="Times New Roman"/>
          <w:b/>
          <w:sz w:val="28"/>
          <w:szCs w:val="28"/>
          <w:lang w:val="en-US"/>
        </w:rPr>
        <w:t>Agenda</w:t>
      </w:r>
    </w:p>
    <w:p w:rsidR="00D7084C" w:rsidRPr="00D7084C" w:rsidRDefault="00D7084C" w:rsidP="00E04FA4">
      <w:pPr>
        <w:pStyle w:val="a7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ar-SA"/>
        </w:rPr>
      </w:pPr>
      <w:r w:rsidRPr="00D7084C">
        <w:rPr>
          <w:rFonts w:ascii="Times New Roman" w:hAnsi="Times New Roman"/>
          <w:sz w:val="28"/>
          <w:szCs w:val="28"/>
          <w:lang w:val="en-US" w:eastAsia="ar-SA"/>
        </w:rPr>
        <w:t xml:space="preserve">On </w:t>
      </w:r>
      <w:r w:rsidR="00E04FA4">
        <w:rPr>
          <w:rFonts w:ascii="Times New Roman" w:hAnsi="Times New Roman"/>
          <w:sz w:val="28"/>
          <w:szCs w:val="28"/>
          <w:lang w:val="en-US" w:eastAsia="ar-SA"/>
        </w:rPr>
        <w:t>c</w:t>
      </w:r>
      <w:r w:rsidR="00E04FA4" w:rsidRPr="00E04FA4">
        <w:rPr>
          <w:rFonts w:ascii="Times New Roman" w:hAnsi="Times New Roman"/>
          <w:sz w:val="28"/>
          <w:szCs w:val="28"/>
          <w:lang w:val="en-US" w:eastAsia="ar-SA"/>
        </w:rPr>
        <w:t xml:space="preserve">onsideration the report </w:t>
      </w:r>
      <w:r w:rsidR="00E04FA4">
        <w:rPr>
          <w:rFonts w:ascii="Times New Roman" w:hAnsi="Times New Roman"/>
          <w:sz w:val="28"/>
          <w:szCs w:val="28"/>
          <w:lang w:val="en-US" w:eastAsia="ar-SA"/>
        </w:rPr>
        <w:t>of “</w:t>
      </w:r>
      <w:r w:rsidR="00E04FA4" w:rsidRPr="00E04FA4">
        <w:rPr>
          <w:rFonts w:ascii="Times New Roman" w:hAnsi="Times New Roman"/>
          <w:sz w:val="28"/>
          <w:szCs w:val="28"/>
          <w:lang w:val="en-US" w:eastAsia="ar-SA"/>
        </w:rPr>
        <w:t>Kubanenergo</w:t>
      </w:r>
      <w:r w:rsidR="00E04FA4">
        <w:rPr>
          <w:rFonts w:ascii="Times New Roman" w:hAnsi="Times New Roman"/>
          <w:sz w:val="28"/>
          <w:szCs w:val="28"/>
          <w:lang w:val="en-US" w:eastAsia="ar-SA"/>
        </w:rPr>
        <w:t>” JSC on intended expenditures of</w:t>
      </w:r>
      <w:r w:rsidR="00E04FA4" w:rsidRPr="00E04FA4">
        <w:rPr>
          <w:rFonts w:ascii="Times New Roman" w:hAnsi="Times New Roman"/>
          <w:sz w:val="28"/>
          <w:szCs w:val="28"/>
          <w:lang w:val="en-US" w:eastAsia="ar-SA"/>
        </w:rPr>
        <w:t xml:space="preserve"> credit</w:t>
      </w:r>
      <w:r w:rsidR="00E04FA4">
        <w:rPr>
          <w:rFonts w:ascii="Times New Roman" w:hAnsi="Times New Roman"/>
          <w:sz w:val="28"/>
          <w:szCs w:val="28"/>
          <w:lang w:val="en-US" w:eastAsia="ar-SA"/>
        </w:rPr>
        <w:t xml:space="preserve"> funds </w:t>
      </w:r>
      <w:r w:rsidR="00E04FA4" w:rsidRPr="00E04FA4">
        <w:rPr>
          <w:rFonts w:ascii="Times New Roman" w:hAnsi="Times New Roman"/>
          <w:sz w:val="28"/>
          <w:szCs w:val="28"/>
          <w:lang w:val="en-US" w:eastAsia="ar-SA"/>
        </w:rPr>
        <w:t xml:space="preserve">and </w:t>
      </w:r>
      <w:r w:rsidR="00E04FA4">
        <w:rPr>
          <w:rFonts w:ascii="Times New Roman" w:hAnsi="Times New Roman"/>
          <w:sz w:val="28"/>
          <w:szCs w:val="28"/>
          <w:lang w:val="en-US" w:eastAsia="ar-SA"/>
        </w:rPr>
        <w:t xml:space="preserve">funds received </w:t>
      </w:r>
      <w:r w:rsidR="00E04FA4" w:rsidRPr="00E04FA4">
        <w:rPr>
          <w:rFonts w:ascii="Times New Roman" w:hAnsi="Times New Roman"/>
          <w:sz w:val="28"/>
          <w:szCs w:val="28"/>
          <w:lang w:val="en-US" w:eastAsia="ar-SA"/>
        </w:rPr>
        <w:t xml:space="preserve">from </w:t>
      </w:r>
      <w:r w:rsidR="00E04FA4">
        <w:rPr>
          <w:rFonts w:ascii="Times New Roman" w:hAnsi="Times New Roman"/>
          <w:sz w:val="28"/>
          <w:szCs w:val="28"/>
          <w:lang w:val="en-US" w:eastAsia="ar-SA"/>
        </w:rPr>
        <w:t>emission</w:t>
      </w:r>
      <w:r w:rsidR="00E04FA4" w:rsidRPr="00E04FA4">
        <w:rPr>
          <w:rFonts w:ascii="Times New Roman" w:hAnsi="Times New Roman"/>
          <w:sz w:val="28"/>
          <w:szCs w:val="28"/>
          <w:lang w:val="en-US" w:eastAsia="ar-SA"/>
        </w:rPr>
        <w:t xml:space="preserve"> of </w:t>
      </w:r>
      <w:r w:rsidR="00E04FA4">
        <w:rPr>
          <w:rFonts w:ascii="Times New Roman" w:hAnsi="Times New Roman"/>
          <w:sz w:val="28"/>
          <w:szCs w:val="28"/>
          <w:lang w:val="en-US" w:eastAsia="ar-SA"/>
        </w:rPr>
        <w:t>supplement</w:t>
      </w:r>
      <w:r w:rsidR="00E04FA4" w:rsidRPr="00E04FA4">
        <w:rPr>
          <w:rFonts w:ascii="Times New Roman" w:hAnsi="Times New Roman"/>
          <w:sz w:val="28"/>
          <w:szCs w:val="28"/>
          <w:lang w:val="en-US" w:eastAsia="ar-SA"/>
        </w:rPr>
        <w:t xml:space="preserve"> shares </w:t>
      </w:r>
      <w:r w:rsidR="00E04FA4">
        <w:rPr>
          <w:rFonts w:ascii="Times New Roman" w:hAnsi="Times New Roman"/>
          <w:sz w:val="28"/>
          <w:szCs w:val="28"/>
          <w:lang w:val="en-US" w:eastAsia="ar-SA"/>
        </w:rPr>
        <w:t>of “</w:t>
      </w:r>
      <w:r w:rsidR="00E04FA4" w:rsidRPr="00E04FA4">
        <w:rPr>
          <w:rFonts w:ascii="Times New Roman" w:hAnsi="Times New Roman"/>
          <w:sz w:val="28"/>
          <w:szCs w:val="28"/>
          <w:lang w:val="en-US" w:eastAsia="ar-SA"/>
        </w:rPr>
        <w:t>Kubanenergo</w:t>
      </w:r>
      <w:r w:rsidR="00E04FA4">
        <w:rPr>
          <w:rFonts w:ascii="Times New Roman" w:hAnsi="Times New Roman"/>
          <w:sz w:val="28"/>
          <w:szCs w:val="28"/>
          <w:lang w:val="en-US" w:eastAsia="ar-SA"/>
        </w:rPr>
        <w:t>” JSC</w:t>
      </w:r>
      <w:r w:rsidR="00E04FA4" w:rsidRPr="00E04FA4">
        <w:rPr>
          <w:rFonts w:ascii="Times New Roman" w:hAnsi="Times New Roman"/>
          <w:sz w:val="28"/>
          <w:szCs w:val="28"/>
          <w:lang w:val="en-US" w:eastAsia="ar-SA"/>
        </w:rPr>
        <w:t xml:space="preserve"> paid by other shareholders</w:t>
      </w:r>
      <w:r w:rsidRPr="00D7084C">
        <w:rPr>
          <w:rFonts w:ascii="Times New Roman" w:hAnsi="Times New Roman"/>
          <w:sz w:val="28"/>
          <w:szCs w:val="28"/>
          <w:lang w:val="en-US" w:eastAsia="ar-SA"/>
        </w:rPr>
        <w:t xml:space="preserve">. </w:t>
      </w:r>
    </w:p>
    <w:p w:rsidR="00D7084C" w:rsidRPr="00D7084C" w:rsidRDefault="00D7084C" w:rsidP="00D7084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84C">
        <w:rPr>
          <w:rFonts w:ascii="Times New Roman" w:hAnsi="Times New Roman"/>
          <w:iCs/>
          <w:sz w:val="28"/>
          <w:szCs w:val="28"/>
          <w:lang w:val="en-US"/>
        </w:rPr>
        <w:t>On approving Company’s</w:t>
      </w:r>
      <w:r w:rsidR="00E04FA4">
        <w:rPr>
          <w:rFonts w:ascii="Times New Roman" w:hAnsi="Times New Roman"/>
          <w:iCs/>
          <w:sz w:val="28"/>
          <w:szCs w:val="28"/>
          <w:lang w:val="en-US"/>
        </w:rPr>
        <w:t xml:space="preserve"> target values of effectiveness</w:t>
      </w:r>
      <w:r w:rsidRPr="00D7084C">
        <w:rPr>
          <w:rFonts w:ascii="Times New Roman" w:hAnsi="Times New Roman"/>
          <w:sz w:val="28"/>
          <w:szCs w:val="28"/>
          <w:lang w:val="en-US"/>
        </w:rPr>
        <w:t>.</w:t>
      </w:r>
    </w:p>
    <w:p w:rsidR="00D7084C" w:rsidRPr="00D7084C" w:rsidRDefault="008B0AF9" w:rsidP="008B0AF9">
      <w:pPr>
        <w:pStyle w:val="a7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B0AF9">
        <w:rPr>
          <w:rFonts w:ascii="Times New Roman" w:hAnsi="Times New Roman"/>
          <w:sz w:val="28"/>
          <w:szCs w:val="28"/>
          <w:lang w:val="en-US"/>
        </w:rPr>
        <w:t>On us</w:t>
      </w:r>
      <w:r>
        <w:rPr>
          <w:rFonts w:ascii="Times New Roman" w:hAnsi="Times New Roman"/>
          <w:sz w:val="28"/>
          <w:szCs w:val="28"/>
          <w:lang w:val="en-US"/>
        </w:rPr>
        <w:t>ing</w:t>
      </w:r>
      <w:r w:rsidRPr="008B0AF9">
        <w:rPr>
          <w:rFonts w:ascii="Times New Roman" w:hAnsi="Times New Roman"/>
          <w:sz w:val="28"/>
          <w:szCs w:val="28"/>
          <w:lang w:val="en-US"/>
        </w:rPr>
        <w:t xml:space="preserve"> funds received from o</w:t>
      </w:r>
      <w:r>
        <w:rPr>
          <w:rFonts w:ascii="Times New Roman" w:hAnsi="Times New Roman"/>
          <w:sz w:val="28"/>
          <w:szCs w:val="28"/>
          <w:lang w:val="en-US"/>
        </w:rPr>
        <w:t xml:space="preserve">ther shareholders in 2009-2011 in Company’s authorized </w:t>
      </w:r>
      <w:r w:rsidRPr="008B0AF9">
        <w:rPr>
          <w:rFonts w:ascii="Times New Roman" w:hAnsi="Times New Roman"/>
          <w:sz w:val="28"/>
          <w:szCs w:val="28"/>
          <w:lang w:val="en-US"/>
        </w:rPr>
        <w:t>capital re</w:t>
      </w:r>
      <w:r>
        <w:rPr>
          <w:rFonts w:ascii="Times New Roman" w:hAnsi="Times New Roman"/>
          <w:sz w:val="28"/>
          <w:szCs w:val="28"/>
          <w:lang w:val="en-US"/>
        </w:rPr>
        <w:t>gistered</w:t>
      </w:r>
      <w:r w:rsidRPr="008B0AF9">
        <w:rPr>
          <w:rFonts w:ascii="Times New Roman" w:hAnsi="Times New Roman"/>
          <w:sz w:val="28"/>
          <w:szCs w:val="28"/>
          <w:lang w:val="en-US"/>
        </w:rPr>
        <w:t xml:space="preserve"> in accordance with </w:t>
      </w:r>
      <w:r>
        <w:rPr>
          <w:rFonts w:ascii="Times New Roman" w:hAnsi="Times New Roman"/>
          <w:sz w:val="28"/>
          <w:szCs w:val="28"/>
          <w:lang w:val="en-US"/>
        </w:rPr>
        <w:t xml:space="preserve">decision of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BoD</w:t>
      </w:r>
      <w:proofErr w:type="spellEnd"/>
      <w:r w:rsidRPr="008B0AF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dd.</w:t>
      </w:r>
      <w:r w:rsidRPr="008B0AF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21</w:t>
      </w:r>
      <w:r w:rsidRPr="008B0AF9"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05</w:t>
      </w:r>
      <w:r w:rsidRPr="008B0AF9">
        <w:rPr>
          <w:rFonts w:ascii="Times New Roman" w:hAnsi="Times New Roman"/>
          <w:sz w:val="28"/>
          <w:szCs w:val="28"/>
          <w:lang w:val="en-US"/>
        </w:rPr>
        <w:t xml:space="preserve">.2012 (Minutes </w:t>
      </w:r>
      <w:r>
        <w:rPr>
          <w:rFonts w:ascii="Times New Roman" w:hAnsi="Times New Roman"/>
          <w:sz w:val="28"/>
          <w:szCs w:val="28"/>
          <w:lang w:val="en-US"/>
        </w:rPr>
        <w:t>dd.</w:t>
      </w:r>
      <w:r w:rsidRPr="008B0AF9">
        <w:rPr>
          <w:rFonts w:ascii="Times New Roman" w:hAnsi="Times New Roman"/>
          <w:sz w:val="28"/>
          <w:szCs w:val="28"/>
          <w:lang w:val="en-US"/>
        </w:rPr>
        <w:t xml:space="preserve"> 24.05.2012 </w:t>
      </w:r>
      <w:r>
        <w:rPr>
          <w:rFonts w:ascii="Times New Roman" w:hAnsi="Times New Roman"/>
          <w:sz w:val="28"/>
          <w:szCs w:val="28"/>
          <w:lang w:val="en-US"/>
        </w:rPr>
        <w:t>No.</w:t>
      </w:r>
      <w:r w:rsidRPr="008B0AF9">
        <w:rPr>
          <w:rFonts w:ascii="Times New Roman" w:hAnsi="Times New Roman"/>
          <w:sz w:val="28"/>
          <w:szCs w:val="28"/>
          <w:lang w:val="en-US"/>
        </w:rPr>
        <w:t xml:space="preserve"> 134/2012),</w:t>
      </w:r>
      <w:r>
        <w:rPr>
          <w:rFonts w:ascii="Times New Roman" w:hAnsi="Times New Roman"/>
          <w:sz w:val="28"/>
          <w:szCs w:val="28"/>
          <w:lang w:val="en-US"/>
        </w:rPr>
        <w:t xml:space="preserve"> on financing</w:t>
      </w:r>
      <w:r w:rsidRPr="008B0AF9">
        <w:rPr>
          <w:rFonts w:ascii="Times New Roman" w:hAnsi="Times New Roman"/>
          <w:sz w:val="28"/>
          <w:szCs w:val="28"/>
          <w:lang w:val="en-US"/>
        </w:rPr>
        <w:t xml:space="preserve"> the </w:t>
      </w:r>
      <w:r>
        <w:rPr>
          <w:rFonts w:ascii="Times New Roman" w:hAnsi="Times New Roman"/>
          <w:sz w:val="28"/>
          <w:szCs w:val="28"/>
          <w:lang w:val="en-US"/>
        </w:rPr>
        <w:t>events aimed on</w:t>
      </w:r>
      <w:r w:rsidRPr="008B0AF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purchasing</w:t>
      </w:r>
      <w:r w:rsidRPr="008B0AF9">
        <w:rPr>
          <w:rFonts w:ascii="Times New Roman" w:hAnsi="Times New Roman"/>
          <w:sz w:val="28"/>
          <w:szCs w:val="28"/>
          <w:lang w:val="en-US"/>
        </w:rPr>
        <w:t xml:space="preserve"> real property located in the area of ​​construction of power facilities, to ensure the commissioning of Olympic power facilities (paragraphs 145, 146 </w:t>
      </w:r>
      <w:r>
        <w:rPr>
          <w:rFonts w:ascii="Times New Roman" w:hAnsi="Times New Roman"/>
          <w:sz w:val="28"/>
          <w:szCs w:val="28"/>
          <w:lang w:val="en-US"/>
        </w:rPr>
        <w:t xml:space="preserve">of Program of </w:t>
      </w:r>
      <w:r w:rsidRPr="008B0AF9">
        <w:rPr>
          <w:rFonts w:ascii="Times New Roman" w:hAnsi="Times New Roman"/>
          <w:sz w:val="28"/>
          <w:szCs w:val="28"/>
          <w:lang w:val="en-US"/>
        </w:rPr>
        <w:t xml:space="preserve">building Olympic facilities and </w:t>
      </w:r>
      <w:r w:rsidRPr="008B0AF9">
        <w:rPr>
          <w:rFonts w:ascii="Times New Roman" w:hAnsi="Times New Roman"/>
          <w:sz w:val="28"/>
          <w:szCs w:val="28"/>
          <w:lang w:val="en-US"/>
        </w:rPr>
        <w:lastRenderedPageBreak/>
        <w:t xml:space="preserve">development of Sochi as a mountain resort, approved by the Government of the Russian Federation </w:t>
      </w:r>
      <w:r>
        <w:rPr>
          <w:rFonts w:ascii="Times New Roman" w:hAnsi="Times New Roman"/>
          <w:sz w:val="28"/>
          <w:szCs w:val="28"/>
          <w:lang w:val="en-US"/>
        </w:rPr>
        <w:t>dd.</w:t>
      </w:r>
      <w:r w:rsidRPr="008B0AF9">
        <w:rPr>
          <w:rFonts w:ascii="Times New Roman" w:hAnsi="Times New Roman"/>
          <w:sz w:val="28"/>
          <w:szCs w:val="28"/>
          <w:lang w:val="en-US"/>
        </w:rPr>
        <w:t xml:space="preserve"> 29.12.2007 </w:t>
      </w:r>
      <w:r>
        <w:rPr>
          <w:rFonts w:ascii="Times New Roman" w:hAnsi="Times New Roman"/>
          <w:sz w:val="28"/>
          <w:szCs w:val="28"/>
          <w:lang w:val="en-US"/>
        </w:rPr>
        <w:t xml:space="preserve">No. </w:t>
      </w:r>
      <w:r w:rsidRPr="008B0AF9">
        <w:rPr>
          <w:rFonts w:ascii="Times New Roman" w:hAnsi="Times New Roman"/>
          <w:sz w:val="28"/>
          <w:szCs w:val="28"/>
          <w:lang w:val="en-US"/>
        </w:rPr>
        <w:t>991)</w:t>
      </w:r>
      <w:r w:rsidR="00D7084C" w:rsidRPr="00D7084C">
        <w:rPr>
          <w:rFonts w:ascii="Times New Roman" w:hAnsi="Times New Roman"/>
          <w:sz w:val="28"/>
          <w:szCs w:val="28"/>
          <w:lang w:val="en-US"/>
        </w:rPr>
        <w:t>.</w:t>
      </w:r>
    </w:p>
    <w:p w:rsidR="00EE5DFD" w:rsidRPr="00BA48E2" w:rsidRDefault="00EE5DFD" w:rsidP="00EE5DFD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084C" w:rsidRPr="00D7084C" w:rsidRDefault="00D7084C" w:rsidP="00EE5DFD">
      <w:pPr>
        <w:jc w:val="both"/>
        <w:rPr>
          <w:b/>
          <w:sz w:val="28"/>
          <w:szCs w:val="28"/>
          <w:lang w:val="en-US"/>
        </w:rPr>
      </w:pPr>
      <w:r w:rsidRPr="00D7084C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.</w:t>
      </w:r>
      <w:r w:rsidR="007E0829">
        <w:rPr>
          <w:b/>
          <w:sz w:val="28"/>
          <w:szCs w:val="28"/>
          <w:lang w:val="en-US"/>
        </w:rPr>
        <w:t xml:space="preserve"> </w:t>
      </w:r>
      <w:r w:rsidR="007E0829" w:rsidRPr="007E0829">
        <w:rPr>
          <w:b/>
          <w:sz w:val="28"/>
          <w:szCs w:val="28"/>
          <w:lang w:val="en-US" w:eastAsia="ar-SA"/>
        </w:rPr>
        <w:t>On consideration the report of “Kubanenergo” JSC on intended expenditures of credit funds and funds received from emission of supplement shares of “Kubanenergo” JSC paid by other shareholders</w:t>
      </w:r>
      <w:r w:rsidR="007E0829" w:rsidRPr="007E0829">
        <w:rPr>
          <w:b/>
          <w:sz w:val="28"/>
          <w:szCs w:val="28"/>
          <w:lang w:val="en-US" w:eastAsia="ar-SA"/>
        </w:rPr>
        <w:t>.</w:t>
      </w:r>
    </w:p>
    <w:p w:rsidR="00D7084C" w:rsidRDefault="00D7084C" w:rsidP="00EE5DFD">
      <w:pPr>
        <w:jc w:val="both"/>
        <w:rPr>
          <w:sz w:val="28"/>
          <w:szCs w:val="28"/>
          <w:lang w:val="en-US"/>
        </w:rPr>
      </w:pPr>
    </w:p>
    <w:p w:rsidR="00EE5DFD" w:rsidRPr="009F1266" w:rsidRDefault="00EE5DFD" w:rsidP="00EE5DFD">
      <w:pPr>
        <w:jc w:val="both"/>
        <w:rPr>
          <w:b/>
          <w:sz w:val="28"/>
          <w:szCs w:val="28"/>
          <w:u w:val="single"/>
          <w:lang w:val="en-US"/>
        </w:rPr>
      </w:pPr>
      <w:r w:rsidRPr="009F1266">
        <w:rPr>
          <w:b/>
          <w:sz w:val="28"/>
          <w:szCs w:val="28"/>
          <w:u w:val="single"/>
          <w:lang w:val="en-US"/>
        </w:rPr>
        <w:t>It is proposed to adopt the following decision:</w:t>
      </w:r>
    </w:p>
    <w:p w:rsidR="00D7084C" w:rsidRPr="007E0829" w:rsidRDefault="007E0829" w:rsidP="00EE5DFD">
      <w:pPr>
        <w:autoSpaceDE w:val="0"/>
        <w:autoSpaceDN w:val="0"/>
        <w:jc w:val="both"/>
        <w:rPr>
          <w:sz w:val="28"/>
          <w:szCs w:val="28"/>
          <w:lang w:val="en-US"/>
        </w:rPr>
      </w:pPr>
      <w:r w:rsidRPr="007E0829">
        <w:rPr>
          <w:sz w:val="28"/>
          <w:szCs w:val="28"/>
          <w:lang w:val="en-US"/>
        </w:rPr>
        <w:t xml:space="preserve">To take into account the report of “Kubanenergo” JSC on </w:t>
      </w:r>
      <w:r w:rsidRPr="007E0829">
        <w:rPr>
          <w:sz w:val="28"/>
          <w:szCs w:val="28"/>
          <w:lang w:val="en-US" w:eastAsia="ar-SA"/>
        </w:rPr>
        <w:t>intended expenditures of credit funds and funds received from emission of supplement shares of “Kubanenergo” JSC paid by other shareholders</w:t>
      </w:r>
      <w:r>
        <w:rPr>
          <w:sz w:val="28"/>
          <w:szCs w:val="28"/>
          <w:lang w:val="en-US" w:eastAsia="ar-SA"/>
        </w:rPr>
        <w:t xml:space="preserve"> as on 30.06.2012 according to Appendix 1 to present decision of Company’s </w:t>
      </w:r>
      <w:proofErr w:type="spellStart"/>
      <w:r>
        <w:rPr>
          <w:sz w:val="28"/>
          <w:szCs w:val="28"/>
          <w:lang w:val="en-US" w:eastAsia="ar-SA"/>
        </w:rPr>
        <w:t>BoD</w:t>
      </w:r>
      <w:proofErr w:type="spellEnd"/>
      <w:r w:rsidRPr="007E0829">
        <w:rPr>
          <w:sz w:val="28"/>
          <w:szCs w:val="28"/>
          <w:lang w:val="en-US" w:eastAsia="ar-SA"/>
        </w:rPr>
        <w:t>.</w:t>
      </w:r>
    </w:p>
    <w:p w:rsidR="00EE5DFD" w:rsidRPr="00BA48E2" w:rsidRDefault="00EE5DFD" w:rsidP="00EE5DFD">
      <w:pPr>
        <w:autoSpaceDE w:val="0"/>
        <w:autoSpaceDN w:val="0"/>
        <w:jc w:val="both"/>
        <w:rPr>
          <w:b/>
          <w:sz w:val="28"/>
          <w:szCs w:val="28"/>
          <w:lang w:val="en-US"/>
        </w:rPr>
      </w:pPr>
      <w:r w:rsidRPr="00BA48E2">
        <w:rPr>
          <w:b/>
          <w:sz w:val="28"/>
          <w:szCs w:val="28"/>
          <w:lang w:val="en-US"/>
        </w:rPr>
        <w:t>Voting results</w:t>
      </w:r>
    </w:p>
    <w:tbl>
      <w:tblPr>
        <w:tblW w:w="9935" w:type="dxa"/>
        <w:tblLook w:val="01E0" w:firstRow="1" w:lastRow="1" w:firstColumn="1" w:lastColumn="1" w:noHBand="0" w:noVBand="0"/>
      </w:tblPr>
      <w:tblGrid>
        <w:gridCol w:w="2433"/>
        <w:gridCol w:w="522"/>
        <w:gridCol w:w="1803"/>
        <w:gridCol w:w="595"/>
        <w:gridCol w:w="2393"/>
        <w:gridCol w:w="386"/>
        <w:gridCol w:w="1803"/>
      </w:tblGrid>
      <w:tr w:rsidR="00EE5DFD" w:rsidRPr="00BA48E2" w:rsidTr="00B63D3D">
        <w:tc>
          <w:tcPr>
            <w:tcW w:w="2433" w:type="dxa"/>
            <w:shd w:val="clear" w:color="auto" w:fill="auto"/>
          </w:tcPr>
          <w:p w:rsidR="00EE5DFD" w:rsidRPr="00BA48E2" w:rsidRDefault="007E0829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Demidov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</w:t>
            </w:r>
          </w:p>
        </w:tc>
        <w:tc>
          <w:tcPr>
            <w:tcW w:w="522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  <w:tc>
          <w:tcPr>
            <w:tcW w:w="595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E5DFD" w:rsidRPr="00BA48E2" w:rsidRDefault="00F343A4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Romeiko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D.I.</w:t>
            </w:r>
          </w:p>
        </w:tc>
        <w:tc>
          <w:tcPr>
            <w:tcW w:w="386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BA48E2" w:rsidRDefault="00EE5DFD" w:rsidP="00B63D3D">
            <w:pPr>
              <w:rPr>
                <w:sz w:val="28"/>
                <w:szCs w:val="28"/>
              </w:rPr>
            </w:pPr>
            <w:r w:rsidRPr="00BA48E2">
              <w:rPr>
                <w:sz w:val="28"/>
                <w:szCs w:val="28"/>
                <w:lang w:val="en-US"/>
              </w:rPr>
              <w:t>FOR</w:t>
            </w:r>
          </w:p>
        </w:tc>
      </w:tr>
      <w:tr w:rsidR="00EE5DFD" w:rsidRPr="00BA48E2" w:rsidTr="00B63D3D">
        <w:tc>
          <w:tcPr>
            <w:tcW w:w="2433" w:type="dxa"/>
            <w:shd w:val="clear" w:color="auto" w:fill="auto"/>
          </w:tcPr>
          <w:p w:rsidR="00EE5DFD" w:rsidRPr="00BA48E2" w:rsidRDefault="007E0829" w:rsidP="00B63D3D">
            <w:pPr>
              <w:pStyle w:val="ConsNormal"/>
              <w:tabs>
                <w:tab w:val="right" w:pos="2217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Katina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A.Yu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22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  <w:tc>
          <w:tcPr>
            <w:tcW w:w="595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E5DFD" w:rsidRPr="00BA48E2" w:rsidRDefault="00F343A4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Sultanov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G.A.</w:t>
            </w:r>
          </w:p>
        </w:tc>
        <w:tc>
          <w:tcPr>
            <w:tcW w:w="386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BA48E2" w:rsidRDefault="00EE5DFD" w:rsidP="00B63D3D">
            <w:pPr>
              <w:rPr>
                <w:sz w:val="28"/>
                <w:szCs w:val="28"/>
              </w:rPr>
            </w:pPr>
            <w:r w:rsidRPr="00BA48E2">
              <w:rPr>
                <w:sz w:val="28"/>
                <w:szCs w:val="28"/>
                <w:lang w:val="en-US"/>
              </w:rPr>
              <w:t>FOR</w:t>
            </w:r>
          </w:p>
        </w:tc>
      </w:tr>
      <w:tr w:rsidR="00EE5DFD" w:rsidRPr="00BA48E2" w:rsidTr="00B63D3D">
        <w:trPr>
          <w:trHeight w:val="339"/>
        </w:trPr>
        <w:tc>
          <w:tcPr>
            <w:tcW w:w="2433" w:type="dxa"/>
            <w:shd w:val="clear" w:color="auto" w:fill="auto"/>
          </w:tcPr>
          <w:p w:rsidR="00EE5DFD" w:rsidRPr="00BA48E2" w:rsidRDefault="007E0829" w:rsidP="007E0829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Perepyolkin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A.Yu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22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  <w:tc>
          <w:tcPr>
            <w:tcW w:w="595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E5DFD" w:rsidRPr="00BA48E2" w:rsidRDefault="00F343A4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Shvets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N.N.</w:t>
            </w:r>
          </w:p>
        </w:tc>
        <w:tc>
          <w:tcPr>
            <w:tcW w:w="386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BA48E2" w:rsidRDefault="00EE5DFD" w:rsidP="00B63D3D">
            <w:pPr>
              <w:rPr>
                <w:sz w:val="28"/>
                <w:szCs w:val="28"/>
              </w:rPr>
            </w:pPr>
            <w:r w:rsidRPr="00BA48E2">
              <w:rPr>
                <w:sz w:val="28"/>
                <w:szCs w:val="28"/>
                <w:lang w:val="en-US"/>
              </w:rPr>
              <w:t>FOR</w:t>
            </w:r>
          </w:p>
        </w:tc>
      </w:tr>
      <w:tr w:rsidR="00EE5DFD" w:rsidRPr="00BA48E2" w:rsidTr="00B63D3D">
        <w:tc>
          <w:tcPr>
            <w:tcW w:w="2433" w:type="dxa"/>
            <w:shd w:val="clear" w:color="auto" w:fill="auto"/>
          </w:tcPr>
          <w:p w:rsidR="00EE5DFD" w:rsidRPr="00BA48E2" w:rsidRDefault="00F343A4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Pyatigor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522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  <w:tc>
          <w:tcPr>
            <w:tcW w:w="595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E5DFD" w:rsidRPr="00BA48E2" w:rsidRDefault="00F343A4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Yurchyuk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S.E.</w:t>
            </w:r>
          </w:p>
        </w:tc>
        <w:tc>
          <w:tcPr>
            <w:tcW w:w="386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</w:tr>
      <w:tr w:rsidR="00EE5DFD" w:rsidRPr="00BA48E2" w:rsidTr="00B63D3D">
        <w:tc>
          <w:tcPr>
            <w:tcW w:w="2433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3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5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3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E5DFD" w:rsidRPr="00BA48E2" w:rsidRDefault="00EE5DFD" w:rsidP="00EE5DFD">
      <w:pPr>
        <w:pStyle w:val="ConsNormal"/>
        <w:tabs>
          <w:tab w:val="left" w:pos="360"/>
        </w:tabs>
        <w:spacing w:before="120" w:after="120"/>
        <w:ind w:righ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2">
        <w:rPr>
          <w:rFonts w:ascii="Times New Roman" w:hAnsi="Times New Roman" w:cs="Times New Roman"/>
          <w:sz w:val="28"/>
          <w:szCs w:val="28"/>
          <w:lang w:val="en-US"/>
        </w:rPr>
        <w:t xml:space="preserve">Thus, the decision on the first item was unanimously adopted by members of </w:t>
      </w:r>
      <w:proofErr w:type="spellStart"/>
      <w:r w:rsidRPr="00BA48E2">
        <w:rPr>
          <w:rFonts w:ascii="Times New Roman" w:hAnsi="Times New Roman" w:cs="Times New Roman"/>
          <w:sz w:val="28"/>
          <w:szCs w:val="28"/>
          <w:lang w:val="en-US"/>
        </w:rPr>
        <w:t>BoD</w:t>
      </w:r>
      <w:proofErr w:type="spellEnd"/>
      <w:r w:rsidRPr="00BA48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5DFD" w:rsidRPr="00BA48E2" w:rsidRDefault="00EE5DFD" w:rsidP="00EE5DFD">
      <w:pPr>
        <w:autoSpaceDE w:val="0"/>
        <w:autoSpaceDN w:val="0"/>
        <w:jc w:val="both"/>
        <w:rPr>
          <w:b/>
          <w:sz w:val="28"/>
          <w:szCs w:val="28"/>
          <w:lang w:val="en-US"/>
        </w:rPr>
      </w:pPr>
    </w:p>
    <w:p w:rsidR="00D7084C" w:rsidRPr="00D7084C" w:rsidRDefault="00D7084C" w:rsidP="00D7084C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</w:t>
      </w:r>
      <w:r w:rsidRPr="009A699B">
        <w:rPr>
          <w:b/>
          <w:sz w:val="28"/>
          <w:szCs w:val="28"/>
          <w:lang w:val="en-US"/>
        </w:rPr>
        <w:t>.</w:t>
      </w:r>
      <w:r w:rsidR="00F343A4" w:rsidRPr="009A699B">
        <w:rPr>
          <w:b/>
          <w:sz w:val="28"/>
          <w:szCs w:val="28"/>
          <w:lang w:val="en-US"/>
        </w:rPr>
        <w:t xml:space="preserve"> </w:t>
      </w:r>
      <w:r w:rsidR="009A699B" w:rsidRPr="009A699B">
        <w:rPr>
          <w:b/>
          <w:iCs/>
          <w:sz w:val="28"/>
          <w:szCs w:val="28"/>
          <w:lang w:val="en-US"/>
        </w:rPr>
        <w:t>On approving Company’s target values of effectiveness</w:t>
      </w:r>
      <w:r w:rsidR="009A699B" w:rsidRPr="009A699B">
        <w:rPr>
          <w:b/>
          <w:iCs/>
          <w:sz w:val="28"/>
          <w:szCs w:val="28"/>
          <w:lang w:val="en-US"/>
        </w:rPr>
        <w:t>.</w:t>
      </w:r>
    </w:p>
    <w:p w:rsidR="00D7084C" w:rsidRDefault="00D7084C" w:rsidP="00EE5DFD">
      <w:pPr>
        <w:jc w:val="both"/>
        <w:rPr>
          <w:sz w:val="28"/>
          <w:szCs w:val="28"/>
          <w:lang w:val="en-US"/>
        </w:rPr>
      </w:pPr>
    </w:p>
    <w:p w:rsidR="00EE5DFD" w:rsidRDefault="00EE5DFD" w:rsidP="00EE5DFD">
      <w:pPr>
        <w:jc w:val="both"/>
        <w:rPr>
          <w:b/>
          <w:sz w:val="28"/>
          <w:szCs w:val="28"/>
          <w:u w:val="single"/>
          <w:lang w:val="en-US"/>
        </w:rPr>
      </w:pPr>
      <w:r w:rsidRPr="009A699B">
        <w:rPr>
          <w:b/>
          <w:sz w:val="28"/>
          <w:szCs w:val="28"/>
          <w:u w:val="single"/>
          <w:lang w:val="en-US"/>
        </w:rPr>
        <w:t>It is proposed to adopt the following decision:</w:t>
      </w:r>
    </w:p>
    <w:p w:rsidR="009A699B" w:rsidRDefault="00951223" w:rsidP="009A699B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951223">
        <w:rPr>
          <w:rFonts w:ascii="Times New Roman" w:hAnsi="Times New Roman"/>
          <w:sz w:val="28"/>
          <w:szCs w:val="28"/>
          <w:lang w:val="en-US"/>
        </w:rPr>
        <w:t xml:space="preserve">To </w:t>
      </w:r>
      <w:r>
        <w:rPr>
          <w:rFonts w:ascii="Times New Roman" w:hAnsi="Times New Roman"/>
          <w:sz w:val="28"/>
          <w:szCs w:val="28"/>
          <w:lang w:val="en-US"/>
        </w:rPr>
        <w:t>add</w:t>
      </w:r>
      <w:r w:rsidRPr="0095122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KPI list of new system of Company’s KPI (upon its confirmation by Company’s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) with annual and quarterly </w:t>
      </w:r>
      <w:r w:rsidR="00250551">
        <w:rPr>
          <w:rFonts w:ascii="Times New Roman" w:hAnsi="Times New Roman"/>
          <w:sz w:val="28"/>
          <w:szCs w:val="28"/>
          <w:lang w:val="en-US"/>
        </w:rPr>
        <w:t xml:space="preserve">indicators “The accomplishment of milestones of schedule of </w:t>
      </w:r>
      <w:proofErr w:type="spellStart"/>
      <w:r w:rsidR="00250551">
        <w:rPr>
          <w:rFonts w:ascii="Times New Roman" w:hAnsi="Times New Roman"/>
          <w:sz w:val="28"/>
          <w:szCs w:val="28"/>
          <w:lang w:val="en-US"/>
        </w:rPr>
        <w:t>underrun</w:t>
      </w:r>
      <w:proofErr w:type="spellEnd"/>
      <w:r w:rsidR="00250551">
        <w:rPr>
          <w:rFonts w:ascii="Times New Roman" w:hAnsi="Times New Roman"/>
          <w:sz w:val="28"/>
          <w:szCs w:val="28"/>
          <w:lang w:val="en-US"/>
        </w:rPr>
        <w:t xml:space="preserve"> liquidation on energy facilities Sochi-2014” calculated in accordance with methods approved in item 2 of present decision of Company’s </w:t>
      </w:r>
      <w:proofErr w:type="spellStart"/>
      <w:r w:rsidR="00250551">
        <w:rPr>
          <w:rFonts w:ascii="Times New Roman" w:hAnsi="Times New Roman"/>
          <w:sz w:val="28"/>
          <w:szCs w:val="28"/>
          <w:lang w:val="en-US"/>
        </w:rPr>
        <w:t>BoD</w:t>
      </w:r>
      <w:proofErr w:type="spellEnd"/>
      <w:r w:rsidR="00250551">
        <w:rPr>
          <w:rFonts w:ascii="Times New Roman" w:hAnsi="Times New Roman"/>
          <w:sz w:val="28"/>
          <w:szCs w:val="28"/>
          <w:lang w:val="en-US"/>
        </w:rPr>
        <w:t xml:space="preserve"> and annual and quarterly indicator “The accomplishment of financial schedules of development and commissioning in fixed assets federal programs”.</w:t>
      </w:r>
    </w:p>
    <w:p w:rsidR="00250551" w:rsidRDefault="00250551" w:rsidP="00250551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To a</w:t>
      </w:r>
      <w:r w:rsidRPr="00250551">
        <w:rPr>
          <w:rFonts w:ascii="Times New Roman" w:hAnsi="Times New Roman"/>
          <w:sz w:val="28"/>
          <w:szCs w:val="28"/>
          <w:lang w:val="en-US"/>
        </w:rPr>
        <w:t xml:space="preserve">pprove the method of calculation and evaluation of the annual and quarterly KPI </w:t>
      </w:r>
      <w:r>
        <w:rPr>
          <w:rFonts w:ascii="Times New Roman" w:hAnsi="Times New Roman"/>
          <w:sz w:val="28"/>
          <w:szCs w:val="28"/>
          <w:lang w:val="en-US"/>
        </w:rPr>
        <w:t>“</w:t>
      </w:r>
      <w:r w:rsidRPr="00250551">
        <w:rPr>
          <w:rFonts w:ascii="Times New Roman" w:hAnsi="Times New Roman"/>
          <w:sz w:val="28"/>
          <w:szCs w:val="28"/>
          <w:lang w:val="en-US"/>
        </w:rPr>
        <w:t xml:space="preserve">Implementation </w:t>
      </w:r>
      <w:r w:rsidR="005726A1">
        <w:rPr>
          <w:rFonts w:ascii="Times New Roman" w:hAnsi="Times New Roman"/>
          <w:sz w:val="28"/>
          <w:szCs w:val="28"/>
          <w:lang w:val="en-US"/>
        </w:rPr>
        <w:t xml:space="preserve">of </w:t>
      </w:r>
      <w:r w:rsidRPr="00250551">
        <w:rPr>
          <w:rFonts w:ascii="Times New Roman" w:hAnsi="Times New Roman"/>
          <w:sz w:val="28"/>
          <w:szCs w:val="28"/>
          <w:lang w:val="en-US"/>
        </w:rPr>
        <w:t>schedule</w:t>
      </w:r>
      <w:r w:rsidR="005726A1">
        <w:rPr>
          <w:rFonts w:ascii="Times New Roman" w:hAnsi="Times New Roman"/>
          <w:sz w:val="28"/>
          <w:szCs w:val="28"/>
          <w:lang w:val="en-US"/>
        </w:rPr>
        <w:t>s’ milestones</w:t>
      </w:r>
      <w:r w:rsidRPr="0025055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726A1">
        <w:rPr>
          <w:rFonts w:ascii="Times New Roman" w:hAnsi="Times New Roman"/>
          <w:sz w:val="28"/>
          <w:szCs w:val="28"/>
          <w:lang w:val="en-US"/>
        </w:rPr>
        <w:t>of</w:t>
      </w:r>
      <w:r w:rsidRPr="00250551">
        <w:rPr>
          <w:rFonts w:ascii="Times New Roman" w:hAnsi="Times New Roman"/>
          <w:sz w:val="28"/>
          <w:szCs w:val="28"/>
          <w:lang w:val="en-US"/>
        </w:rPr>
        <w:t xml:space="preserve"> reducing the backlog of energy supply </w:t>
      </w:r>
      <w:r w:rsidR="005726A1">
        <w:rPr>
          <w:rFonts w:ascii="Times New Roman" w:hAnsi="Times New Roman"/>
          <w:sz w:val="28"/>
          <w:szCs w:val="28"/>
          <w:lang w:val="en-US"/>
        </w:rPr>
        <w:t xml:space="preserve">facilities </w:t>
      </w:r>
      <w:r w:rsidRPr="00250551">
        <w:rPr>
          <w:rFonts w:ascii="Times New Roman" w:hAnsi="Times New Roman"/>
          <w:sz w:val="28"/>
          <w:szCs w:val="28"/>
          <w:lang w:val="en-US"/>
        </w:rPr>
        <w:t>Sochi-2014</w:t>
      </w:r>
      <w:r w:rsidR="005726A1">
        <w:rPr>
          <w:rFonts w:ascii="Times New Roman" w:hAnsi="Times New Roman"/>
          <w:sz w:val="28"/>
          <w:szCs w:val="28"/>
          <w:lang w:val="en-US"/>
        </w:rPr>
        <w:t>”</w:t>
      </w:r>
      <w:r w:rsidRPr="00250551">
        <w:rPr>
          <w:rFonts w:ascii="Times New Roman" w:hAnsi="Times New Roman"/>
          <w:sz w:val="28"/>
          <w:szCs w:val="28"/>
          <w:lang w:val="en-US"/>
        </w:rPr>
        <w:t xml:space="preserve"> in accordance with Annex 2 to </w:t>
      </w:r>
      <w:r w:rsidR="005726A1">
        <w:rPr>
          <w:rFonts w:ascii="Times New Roman" w:hAnsi="Times New Roman"/>
          <w:sz w:val="28"/>
          <w:szCs w:val="28"/>
          <w:lang w:val="en-US"/>
        </w:rPr>
        <w:t xml:space="preserve">present </w:t>
      </w:r>
      <w:r w:rsidRPr="00250551">
        <w:rPr>
          <w:rFonts w:ascii="Times New Roman" w:hAnsi="Times New Roman"/>
          <w:sz w:val="28"/>
          <w:szCs w:val="28"/>
          <w:lang w:val="en-US"/>
        </w:rPr>
        <w:t xml:space="preserve">decision </w:t>
      </w:r>
      <w:r w:rsidR="005726A1">
        <w:rPr>
          <w:rFonts w:ascii="Times New Roman" w:hAnsi="Times New Roman"/>
          <w:sz w:val="28"/>
          <w:szCs w:val="28"/>
          <w:lang w:val="en-US"/>
        </w:rPr>
        <w:t xml:space="preserve">of Company’s </w:t>
      </w:r>
      <w:proofErr w:type="spellStart"/>
      <w:r w:rsidR="005726A1">
        <w:rPr>
          <w:rFonts w:ascii="Times New Roman" w:hAnsi="Times New Roman"/>
          <w:sz w:val="28"/>
          <w:szCs w:val="28"/>
          <w:lang w:val="en-US"/>
        </w:rPr>
        <w:t>BoD</w:t>
      </w:r>
      <w:proofErr w:type="spellEnd"/>
      <w:r w:rsidR="005726A1">
        <w:rPr>
          <w:rFonts w:ascii="Times New Roman" w:hAnsi="Times New Roman"/>
          <w:sz w:val="28"/>
          <w:szCs w:val="28"/>
          <w:lang w:val="en-US"/>
        </w:rPr>
        <w:t>.</w:t>
      </w:r>
    </w:p>
    <w:p w:rsidR="005726A1" w:rsidRPr="00951223" w:rsidRDefault="005726A1" w:rsidP="0031252D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Director General</w:t>
      </w:r>
      <w:r>
        <w:rPr>
          <w:rFonts w:ascii="Times New Roman" w:hAnsi="Times New Roman"/>
          <w:sz w:val="28"/>
          <w:szCs w:val="28"/>
          <w:lang w:val="en-US"/>
        </w:rPr>
        <w:t xml:space="preserve"> should submit for approval for Company’s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calculation methodology, target values, bonus parts on KPI “Accomplishment of financial schedules </w:t>
      </w:r>
      <w:r>
        <w:rPr>
          <w:rFonts w:ascii="Times New Roman" w:hAnsi="Times New Roman"/>
          <w:sz w:val="28"/>
          <w:szCs w:val="28"/>
          <w:lang w:val="en-US"/>
        </w:rPr>
        <w:t>f development and commissioning in fixed assets federal programs</w:t>
      </w:r>
      <w:r>
        <w:rPr>
          <w:rFonts w:ascii="Times New Roman" w:hAnsi="Times New Roman"/>
          <w:sz w:val="28"/>
          <w:szCs w:val="28"/>
          <w:lang w:val="en-US"/>
        </w:rPr>
        <w:t xml:space="preserve"> taking into account provisions of contracts on assignment of budget investments between “Holding IDGC”</w:t>
      </w:r>
      <w:r w:rsidR="0031252D">
        <w:rPr>
          <w:rFonts w:ascii="Times New Roman" w:hAnsi="Times New Roman"/>
          <w:sz w:val="28"/>
          <w:szCs w:val="28"/>
          <w:lang w:val="en-US"/>
        </w:rPr>
        <w:t xml:space="preserve"> JSC, </w:t>
      </w:r>
      <w:r w:rsidR="0031252D" w:rsidRPr="0031252D">
        <w:rPr>
          <w:rFonts w:ascii="Times New Roman" w:hAnsi="Times New Roman"/>
          <w:sz w:val="28"/>
          <w:szCs w:val="28"/>
          <w:lang w:val="en-US"/>
        </w:rPr>
        <w:t>Federal Agency for the Administration of State Property</w:t>
      </w:r>
      <w:r w:rsidR="0031252D">
        <w:rPr>
          <w:rFonts w:ascii="Times New Roman" w:hAnsi="Times New Roman"/>
          <w:sz w:val="28"/>
          <w:szCs w:val="28"/>
          <w:lang w:val="en-US"/>
        </w:rPr>
        <w:t xml:space="preserve"> and RF Ministry of Energy</w:t>
      </w:r>
      <w:r>
        <w:rPr>
          <w:rFonts w:ascii="Times New Roman" w:hAnsi="Times New Roman"/>
          <w:sz w:val="28"/>
          <w:szCs w:val="28"/>
          <w:lang w:val="en-US"/>
        </w:rPr>
        <w:t>”</w:t>
      </w:r>
      <w:r w:rsidR="0031252D">
        <w:rPr>
          <w:rFonts w:ascii="Times New Roman" w:hAnsi="Times New Roman"/>
          <w:sz w:val="28"/>
          <w:szCs w:val="28"/>
          <w:lang w:val="en-US"/>
        </w:rPr>
        <w:t>.</w:t>
      </w:r>
    </w:p>
    <w:p w:rsidR="00D7084C" w:rsidRPr="00951223" w:rsidRDefault="00D7084C" w:rsidP="00EE5DFD">
      <w:pPr>
        <w:autoSpaceDE w:val="0"/>
        <w:autoSpaceDN w:val="0"/>
        <w:jc w:val="both"/>
        <w:rPr>
          <w:b/>
          <w:sz w:val="28"/>
          <w:szCs w:val="28"/>
          <w:lang w:val="en-US"/>
        </w:rPr>
      </w:pPr>
    </w:p>
    <w:p w:rsidR="00EE5DFD" w:rsidRPr="00BA48E2" w:rsidRDefault="00EE5DFD" w:rsidP="00EE5DFD">
      <w:pPr>
        <w:autoSpaceDE w:val="0"/>
        <w:autoSpaceDN w:val="0"/>
        <w:jc w:val="both"/>
        <w:rPr>
          <w:sz w:val="28"/>
          <w:szCs w:val="28"/>
          <w:lang w:val="en-US"/>
        </w:rPr>
      </w:pPr>
      <w:r w:rsidRPr="00BA48E2">
        <w:rPr>
          <w:b/>
          <w:sz w:val="28"/>
          <w:szCs w:val="28"/>
          <w:lang w:val="en-US"/>
        </w:rPr>
        <w:lastRenderedPageBreak/>
        <w:t>Voting results:</w:t>
      </w:r>
    </w:p>
    <w:tbl>
      <w:tblPr>
        <w:tblW w:w="9935" w:type="dxa"/>
        <w:tblLook w:val="01E0" w:firstRow="1" w:lastRow="1" w:firstColumn="1" w:lastColumn="1" w:noHBand="0" w:noVBand="0"/>
      </w:tblPr>
      <w:tblGrid>
        <w:gridCol w:w="2433"/>
        <w:gridCol w:w="522"/>
        <w:gridCol w:w="1803"/>
        <w:gridCol w:w="595"/>
        <w:gridCol w:w="2393"/>
        <w:gridCol w:w="386"/>
        <w:gridCol w:w="1803"/>
      </w:tblGrid>
      <w:tr w:rsidR="00EE5DFD" w:rsidRPr="00D7084C" w:rsidTr="00B63D3D">
        <w:tc>
          <w:tcPr>
            <w:tcW w:w="2433" w:type="dxa"/>
            <w:shd w:val="clear" w:color="auto" w:fill="auto"/>
          </w:tcPr>
          <w:p w:rsidR="00EE5DFD" w:rsidRPr="00D7084C" w:rsidRDefault="0031252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Demidov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</w:t>
            </w:r>
          </w:p>
        </w:tc>
        <w:tc>
          <w:tcPr>
            <w:tcW w:w="522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  <w:tc>
          <w:tcPr>
            <w:tcW w:w="595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E5DFD" w:rsidRPr="00D7084C" w:rsidRDefault="0031252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Romeiko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D.I.</w:t>
            </w:r>
          </w:p>
        </w:tc>
        <w:tc>
          <w:tcPr>
            <w:tcW w:w="386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D7084C" w:rsidRDefault="00EE5DFD" w:rsidP="00B63D3D">
            <w:pPr>
              <w:rPr>
                <w:sz w:val="28"/>
                <w:szCs w:val="28"/>
              </w:rPr>
            </w:pPr>
            <w:r w:rsidRPr="00D7084C">
              <w:rPr>
                <w:sz w:val="28"/>
                <w:szCs w:val="28"/>
                <w:lang w:val="en-US"/>
              </w:rPr>
              <w:t>FOR</w:t>
            </w:r>
          </w:p>
        </w:tc>
      </w:tr>
      <w:tr w:rsidR="00EE5DFD" w:rsidRPr="00D7084C" w:rsidTr="00B63D3D">
        <w:tc>
          <w:tcPr>
            <w:tcW w:w="2433" w:type="dxa"/>
            <w:shd w:val="clear" w:color="auto" w:fill="auto"/>
          </w:tcPr>
          <w:p w:rsidR="00EE5DFD" w:rsidRPr="00D7084C" w:rsidRDefault="0031252D" w:rsidP="00B63D3D">
            <w:pPr>
              <w:pStyle w:val="ConsNormal"/>
              <w:tabs>
                <w:tab w:val="right" w:pos="2217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Katina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A.Yu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22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  <w:tc>
          <w:tcPr>
            <w:tcW w:w="595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E5DFD" w:rsidRPr="00D7084C" w:rsidRDefault="0031252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Sultanov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G.A.</w:t>
            </w:r>
          </w:p>
        </w:tc>
        <w:tc>
          <w:tcPr>
            <w:tcW w:w="386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D7084C" w:rsidRDefault="00EE5DFD" w:rsidP="00B63D3D">
            <w:pPr>
              <w:rPr>
                <w:sz w:val="28"/>
                <w:szCs w:val="28"/>
              </w:rPr>
            </w:pPr>
            <w:r w:rsidRPr="00D7084C">
              <w:rPr>
                <w:sz w:val="28"/>
                <w:szCs w:val="28"/>
                <w:lang w:val="en-US"/>
              </w:rPr>
              <w:t>FOR</w:t>
            </w:r>
          </w:p>
        </w:tc>
      </w:tr>
      <w:tr w:rsidR="00EE5DFD" w:rsidRPr="00D7084C" w:rsidTr="00B63D3D">
        <w:trPr>
          <w:trHeight w:val="339"/>
        </w:trPr>
        <w:tc>
          <w:tcPr>
            <w:tcW w:w="2433" w:type="dxa"/>
            <w:shd w:val="clear" w:color="auto" w:fill="auto"/>
          </w:tcPr>
          <w:p w:rsidR="00EE5DFD" w:rsidRPr="00D7084C" w:rsidRDefault="0031252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Perepyolkin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A.Yu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22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  <w:tc>
          <w:tcPr>
            <w:tcW w:w="595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E5DFD" w:rsidRPr="00D7084C" w:rsidRDefault="0031252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Shvets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N.N.</w:t>
            </w:r>
          </w:p>
        </w:tc>
        <w:tc>
          <w:tcPr>
            <w:tcW w:w="386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D7084C" w:rsidRDefault="00EE5DFD" w:rsidP="00B63D3D">
            <w:pPr>
              <w:rPr>
                <w:sz w:val="28"/>
                <w:szCs w:val="28"/>
              </w:rPr>
            </w:pPr>
            <w:r w:rsidRPr="00D7084C">
              <w:rPr>
                <w:sz w:val="28"/>
                <w:szCs w:val="28"/>
                <w:lang w:val="en-US"/>
              </w:rPr>
              <w:t>FOR</w:t>
            </w:r>
          </w:p>
        </w:tc>
      </w:tr>
      <w:tr w:rsidR="00EE5DFD" w:rsidRPr="00D7084C" w:rsidTr="00B63D3D">
        <w:tc>
          <w:tcPr>
            <w:tcW w:w="2433" w:type="dxa"/>
            <w:shd w:val="clear" w:color="auto" w:fill="auto"/>
          </w:tcPr>
          <w:p w:rsidR="00EE5DFD" w:rsidRPr="00D7084C" w:rsidRDefault="0031252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Pyatigor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522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  <w:tc>
          <w:tcPr>
            <w:tcW w:w="595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E5DFD" w:rsidRPr="00D7084C" w:rsidRDefault="0031252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Yurchyuk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S.E.</w:t>
            </w:r>
          </w:p>
        </w:tc>
        <w:tc>
          <w:tcPr>
            <w:tcW w:w="386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E5DFD" w:rsidRPr="00D7084C" w:rsidRDefault="0031252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ABSTAINED</w:t>
            </w:r>
          </w:p>
        </w:tc>
      </w:tr>
      <w:tr w:rsidR="00EE5DFD" w:rsidRPr="00D7084C" w:rsidTr="00B63D3D">
        <w:tc>
          <w:tcPr>
            <w:tcW w:w="2433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3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5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3" w:type="dxa"/>
            <w:shd w:val="clear" w:color="auto" w:fill="auto"/>
          </w:tcPr>
          <w:p w:rsidR="00EE5DFD" w:rsidRPr="00D7084C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353F9" w:rsidRPr="00BA48E2" w:rsidRDefault="006353F9" w:rsidP="006353F9">
      <w:pPr>
        <w:pStyle w:val="ConsNormal"/>
        <w:tabs>
          <w:tab w:val="left" w:pos="360"/>
        </w:tabs>
        <w:spacing w:before="120" w:after="120"/>
        <w:ind w:righ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2">
        <w:rPr>
          <w:rFonts w:ascii="Times New Roman" w:hAnsi="Times New Roman" w:cs="Times New Roman"/>
          <w:sz w:val="28"/>
          <w:szCs w:val="28"/>
          <w:lang w:val="en-US"/>
        </w:rPr>
        <w:t>Thus, the decision on the thirteenth item was adopted by majority Board of Directors members</w:t>
      </w:r>
    </w:p>
    <w:p w:rsidR="00EE5DFD" w:rsidRPr="00ED2A1F" w:rsidRDefault="00D7084C" w:rsidP="00EE5DFD">
      <w:pPr>
        <w:autoSpaceDE w:val="0"/>
        <w:autoSpaceDN w:val="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3.</w:t>
      </w:r>
      <w:r w:rsidR="006353F9">
        <w:rPr>
          <w:b/>
          <w:sz w:val="28"/>
          <w:szCs w:val="28"/>
          <w:lang w:val="en-US"/>
        </w:rPr>
        <w:t xml:space="preserve"> </w:t>
      </w:r>
      <w:r w:rsidR="00ED2A1F" w:rsidRPr="00ED2A1F">
        <w:rPr>
          <w:b/>
          <w:sz w:val="28"/>
          <w:szCs w:val="28"/>
          <w:lang w:val="en-US"/>
        </w:rPr>
        <w:t xml:space="preserve">On using funds received from other shareholders in 2009-2011 in Company’s authorized capital registered in accordance with decision of </w:t>
      </w:r>
      <w:proofErr w:type="spellStart"/>
      <w:r w:rsidR="00ED2A1F" w:rsidRPr="00ED2A1F">
        <w:rPr>
          <w:b/>
          <w:sz w:val="28"/>
          <w:szCs w:val="28"/>
          <w:lang w:val="en-US"/>
        </w:rPr>
        <w:t>BoD</w:t>
      </w:r>
      <w:proofErr w:type="spellEnd"/>
      <w:r w:rsidR="00ED2A1F" w:rsidRPr="00ED2A1F">
        <w:rPr>
          <w:b/>
          <w:sz w:val="28"/>
          <w:szCs w:val="28"/>
          <w:lang w:val="en-US"/>
        </w:rPr>
        <w:t xml:space="preserve"> dd. 21.05.2012 (Minutes dd. 24.05.2012 No. 134/2012), on financing the events aimed on purchasing real property located in the area of ​​construction of power facilities, to ensure the commissioning of Olympic power facilities (paragraphs 145, 146 of Program of building Olympic facilities and development of Sochi as a mountain resort, approved by the Government of the Russian Federation dd. 29.12.2007 No. 991).</w:t>
      </w:r>
    </w:p>
    <w:p w:rsidR="00ED2A1F" w:rsidRDefault="00ED2A1F" w:rsidP="00EE5DFD">
      <w:pPr>
        <w:jc w:val="both"/>
        <w:rPr>
          <w:b/>
          <w:sz w:val="28"/>
          <w:szCs w:val="28"/>
          <w:u w:val="single"/>
          <w:lang w:val="en-US"/>
        </w:rPr>
      </w:pPr>
    </w:p>
    <w:p w:rsidR="00EE5DFD" w:rsidRPr="00ED2A1F" w:rsidRDefault="00EE5DFD" w:rsidP="00EE5DFD">
      <w:pPr>
        <w:jc w:val="both"/>
        <w:rPr>
          <w:b/>
          <w:sz w:val="28"/>
          <w:szCs w:val="28"/>
          <w:u w:val="single"/>
          <w:lang w:val="en-US"/>
        </w:rPr>
      </w:pPr>
      <w:r w:rsidRPr="00ED2A1F">
        <w:rPr>
          <w:b/>
          <w:sz w:val="28"/>
          <w:szCs w:val="28"/>
          <w:u w:val="single"/>
          <w:lang w:val="en-US"/>
        </w:rPr>
        <w:t xml:space="preserve">It is proposed to adopt the following decision: </w:t>
      </w:r>
    </w:p>
    <w:p w:rsidR="00EE5DFD" w:rsidRPr="00BA48E2" w:rsidRDefault="00ED2A1F" w:rsidP="00D7084C">
      <w:pPr>
        <w:widowControl w:val="0"/>
        <w:spacing w:after="120"/>
        <w:jc w:val="both"/>
        <w:rPr>
          <w:sz w:val="28"/>
          <w:szCs w:val="28"/>
          <w:lang w:val="en-US" w:eastAsia="en-US"/>
        </w:rPr>
      </w:pPr>
      <w:proofErr w:type="gramStart"/>
      <w:r w:rsidRPr="00ED2A1F">
        <w:rPr>
          <w:sz w:val="28"/>
          <w:szCs w:val="28"/>
          <w:lang w:val="en-US" w:eastAsia="en-US"/>
        </w:rPr>
        <w:t xml:space="preserve">To defer </w:t>
      </w:r>
      <w:r>
        <w:rPr>
          <w:sz w:val="28"/>
          <w:szCs w:val="28"/>
          <w:lang w:val="en-US" w:eastAsia="en-US"/>
        </w:rPr>
        <w:t xml:space="preserve">the </w:t>
      </w:r>
      <w:r w:rsidRPr="00ED2A1F">
        <w:rPr>
          <w:sz w:val="28"/>
          <w:szCs w:val="28"/>
          <w:lang w:val="en-US" w:eastAsia="en-US"/>
        </w:rPr>
        <w:t xml:space="preserve">consideration </w:t>
      </w:r>
      <w:r>
        <w:rPr>
          <w:sz w:val="28"/>
          <w:szCs w:val="28"/>
          <w:lang w:val="en-US" w:eastAsia="en-US"/>
        </w:rPr>
        <w:t xml:space="preserve">of </w:t>
      </w:r>
      <w:r w:rsidRPr="00ED2A1F">
        <w:rPr>
          <w:sz w:val="28"/>
          <w:szCs w:val="28"/>
          <w:lang w:val="en-US" w:eastAsia="en-US"/>
        </w:rPr>
        <w:t xml:space="preserve">the question </w:t>
      </w:r>
      <w:r>
        <w:rPr>
          <w:sz w:val="28"/>
          <w:szCs w:val="28"/>
          <w:lang w:val="en-US" w:eastAsia="en-US"/>
        </w:rPr>
        <w:t xml:space="preserve">to </w:t>
      </w:r>
      <w:r w:rsidRPr="00ED2A1F">
        <w:rPr>
          <w:sz w:val="28"/>
          <w:szCs w:val="28"/>
          <w:lang w:val="en-US" w:eastAsia="en-US"/>
        </w:rPr>
        <w:t>later date.</w:t>
      </w:r>
      <w:proofErr w:type="gramEnd"/>
    </w:p>
    <w:p w:rsidR="00EE5DFD" w:rsidRPr="00BA48E2" w:rsidRDefault="00EE5DFD" w:rsidP="00EE5DFD">
      <w:pPr>
        <w:pStyle w:val="ConsNormal"/>
        <w:spacing w:before="120" w:after="120"/>
        <w:ind w:right="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48E2">
        <w:rPr>
          <w:rFonts w:ascii="Times New Roman" w:hAnsi="Times New Roman" w:cs="Times New Roman"/>
          <w:b/>
          <w:sz w:val="28"/>
          <w:szCs w:val="28"/>
          <w:lang w:val="en-US"/>
        </w:rPr>
        <w:t>Voting results:</w:t>
      </w:r>
    </w:p>
    <w:tbl>
      <w:tblPr>
        <w:tblW w:w="9935" w:type="dxa"/>
        <w:tblLook w:val="01E0" w:firstRow="1" w:lastRow="1" w:firstColumn="1" w:lastColumn="1" w:noHBand="0" w:noVBand="0"/>
      </w:tblPr>
      <w:tblGrid>
        <w:gridCol w:w="2433"/>
        <w:gridCol w:w="522"/>
        <w:gridCol w:w="1803"/>
        <w:gridCol w:w="595"/>
        <w:gridCol w:w="2393"/>
        <w:gridCol w:w="386"/>
        <w:gridCol w:w="1803"/>
      </w:tblGrid>
      <w:tr w:rsidR="00ED2A1F" w:rsidRPr="00BA48E2" w:rsidTr="00B63D3D">
        <w:tc>
          <w:tcPr>
            <w:tcW w:w="2433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Demidov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</w:t>
            </w:r>
          </w:p>
        </w:tc>
        <w:tc>
          <w:tcPr>
            <w:tcW w:w="522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  <w:tc>
          <w:tcPr>
            <w:tcW w:w="595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Romeiko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D.I.</w:t>
            </w:r>
          </w:p>
        </w:tc>
        <w:tc>
          <w:tcPr>
            <w:tcW w:w="386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D2A1F" w:rsidRPr="00BA48E2" w:rsidRDefault="00ED2A1F" w:rsidP="001D6803">
            <w:pPr>
              <w:rPr>
                <w:sz w:val="28"/>
                <w:szCs w:val="28"/>
              </w:rPr>
            </w:pPr>
            <w:r w:rsidRPr="00BA48E2">
              <w:rPr>
                <w:sz w:val="28"/>
                <w:szCs w:val="28"/>
                <w:lang w:val="en-US"/>
              </w:rPr>
              <w:t>FOR</w:t>
            </w:r>
          </w:p>
        </w:tc>
      </w:tr>
      <w:tr w:rsidR="00ED2A1F" w:rsidRPr="00BA48E2" w:rsidTr="00B63D3D">
        <w:tc>
          <w:tcPr>
            <w:tcW w:w="2433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tabs>
                <w:tab w:val="right" w:pos="2217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Katina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A.Yu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22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  <w:tc>
          <w:tcPr>
            <w:tcW w:w="595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Sultanov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G.A.</w:t>
            </w:r>
          </w:p>
        </w:tc>
        <w:tc>
          <w:tcPr>
            <w:tcW w:w="386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D2A1F" w:rsidRPr="00BA48E2" w:rsidRDefault="00ED2A1F" w:rsidP="001D6803">
            <w:pPr>
              <w:rPr>
                <w:sz w:val="28"/>
                <w:szCs w:val="28"/>
              </w:rPr>
            </w:pPr>
            <w:r w:rsidRPr="00BA48E2">
              <w:rPr>
                <w:sz w:val="28"/>
                <w:szCs w:val="28"/>
                <w:lang w:val="en-US"/>
              </w:rPr>
              <w:t>FOR</w:t>
            </w:r>
          </w:p>
        </w:tc>
      </w:tr>
      <w:tr w:rsidR="00ED2A1F" w:rsidRPr="00BA48E2" w:rsidTr="00B63D3D">
        <w:trPr>
          <w:trHeight w:val="339"/>
        </w:trPr>
        <w:tc>
          <w:tcPr>
            <w:tcW w:w="2433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Perepyolkin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A.Yu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22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  <w:tc>
          <w:tcPr>
            <w:tcW w:w="595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Shvets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N.N.</w:t>
            </w:r>
          </w:p>
        </w:tc>
        <w:tc>
          <w:tcPr>
            <w:tcW w:w="386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D2A1F" w:rsidRPr="00BA48E2" w:rsidRDefault="00ED2A1F" w:rsidP="001D6803">
            <w:pPr>
              <w:rPr>
                <w:sz w:val="28"/>
                <w:szCs w:val="28"/>
              </w:rPr>
            </w:pPr>
            <w:r w:rsidRPr="00BA48E2">
              <w:rPr>
                <w:sz w:val="28"/>
                <w:szCs w:val="28"/>
                <w:lang w:val="en-US"/>
              </w:rPr>
              <w:t>FOR</w:t>
            </w:r>
          </w:p>
        </w:tc>
      </w:tr>
      <w:tr w:rsidR="00ED2A1F" w:rsidRPr="00BA48E2" w:rsidTr="00B63D3D">
        <w:tc>
          <w:tcPr>
            <w:tcW w:w="2433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Pyatigor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522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  <w:tc>
          <w:tcPr>
            <w:tcW w:w="595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Yurchyuk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S.E.</w:t>
            </w:r>
          </w:p>
        </w:tc>
        <w:tc>
          <w:tcPr>
            <w:tcW w:w="386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03" w:type="dxa"/>
            <w:shd w:val="clear" w:color="auto" w:fill="auto"/>
          </w:tcPr>
          <w:p w:rsidR="00ED2A1F" w:rsidRPr="00BA48E2" w:rsidRDefault="00ED2A1F" w:rsidP="001D6803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</w:p>
        </w:tc>
      </w:tr>
      <w:tr w:rsidR="00EE5DFD" w:rsidRPr="00BA48E2" w:rsidTr="00B63D3D">
        <w:tc>
          <w:tcPr>
            <w:tcW w:w="2433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3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5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6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3" w:type="dxa"/>
            <w:shd w:val="clear" w:color="auto" w:fill="auto"/>
          </w:tcPr>
          <w:p w:rsidR="00EE5DFD" w:rsidRPr="00BA48E2" w:rsidRDefault="00EE5DFD" w:rsidP="00B63D3D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E5DFD" w:rsidRPr="00BA48E2" w:rsidRDefault="00EE5DFD" w:rsidP="00EE5DFD">
      <w:pPr>
        <w:pStyle w:val="ConsNormal"/>
        <w:tabs>
          <w:tab w:val="left" w:pos="360"/>
        </w:tabs>
        <w:spacing w:before="120" w:after="120"/>
        <w:ind w:righ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48E2">
        <w:rPr>
          <w:rFonts w:ascii="Times New Roman" w:hAnsi="Times New Roman" w:cs="Times New Roman"/>
          <w:sz w:val="28"/>
          <w:szCs w:val="28"/>
          <w:lang w:val="en-US"/>
        </w:rPr>
        <w:t>Thus, the decision on the third item was unanimously adopted by Board of Directors members</w:t>
      </w:r>
    </w:p>
    <w:p w:rsidR="00EE5DFD" w:rsidRPr="00BA48E2" w:rsidRDefault="00EE5DFD" w:rsidP="00EE5DFD">
      <w:pPr>
        <w:pStyle w:val="ConsNormal"/>
        <w:tabs>
          <w:tab w:val="left" w:pos="360"/>
        </w:tabs>
        <w:spacing w:before="120" w:after="120"/>
        <w:ind w:right="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5DFD" w:rsidRPr="00BA48E2" w:rsidRDefault="00EE5DFD" w:rsidP="00EE5DFD">
      <w:pPr>
        <w:pStyle w:val="ConsNormal"/>
        <w:tabs>
          <w:tab w:val="left" w:pos="360"/>
        </w:tabs>
        <w:spacing w:before="120" w:after="120"/>
        <w:ind w:right="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5DFD" w:rsidRPr="00BA48E2" w:rsidRDefault="00EE5DFD" w:rsidP="00EE5DFD">
      <w:pPr>
        <w:pStyle w:val="ConsNormal"/>
        <w:tabs>
          <w:tab w:val="left" w:pos="360"/>
        </w:tabs>
        <w:spacing w:before="120" w:after="120"/>
        <w:ind w:righ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E5DFD" w:rsidRPr="00BA48E2" w:rsidTr="00B63D3D">
        <w:tc>
          <w:tcPr>
            <w:tcW w:w="4785" w:type="dxa"/>
            <w:shd w:val="clear" w:color="auto" w:fill="auto"/>
          </w:tcPr>
          <w:p w:rsidR="00EE5DFD" w:rsidRPr="00BA48E2" w:rsidRDefault="00EE5DFD" w:rsidP="00B63D3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/>
                <w:sz w:val="28"/>
                <w:szCs w:val="28"/>
                <w:lang w:val="en-US"/>
              </w:rPr>
              <w:t>Chair</w:t>
            </w:r>
            <w:r w:rsidR="00D7084C">
              <w:rPr>
                <w:rFonts w:ascii="Times New Roman" w:hAnsi="Times New Roman"/>
                <w:sz w:val="28"/>
                <w:szCs w:val="28"/>
                <w:lang w:val="en-US"/>
              </w:rPr>
              <w:t>person</w:t>
            </w:r>
            <w:r w:rsidRPr="00BA48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</w:t>
            </w:r>
            <w:proofErr w:type="spellStart"/>
            <w:r w:rsidRPr="00BA48E2">
              <w:rPr>
                <w:rFonts w:ascii="Times New Roman" w:hAnsi="Times New Roman"/>
                <w:sz w:val="28"/>
                <w:szCs w:val="28"/>
                <w:lang w:val="en-US"/>
              </w:rPr>
              <w:t>BoD</w:t>
            </w:r>
            <w:proofErr w:type="spellEnd"/>
          </w:p>
          <w:p w:rsidR="00EE5DFD" w:rsidRPr="00BA48E2" w:rsidRDefault="00EE5DFD" w:rsidP="00B63D3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E5DFD" w:rsidRPr="00BA48E2" w:rsidRDefault="00EE5DFD" w:rsidP="00B63D3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E5DFD" w:rsidRPr="00BA48E2" w:rsidRDefault="00EE5DFD" w:rsidP="00B63D3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  <w:shd w:val="clear" w:color="auto" w:fill="auto"/>
          </w:tcPr>
          <w:p w:rsidR="00EE5DFD" w:rsidRPr="00BA48E2" w:rsidRDefault="00ED2A1F" w:rsidP="00B63D3D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Romeiko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D.I.</w:t>
            </w:r>
          </w:p>
        </w:tc>
      </w:tr>
      <w:tr w:rsidR="00EE5DFD" w:rsidRPr="00BA48E2" w:rsidTr="00B63D3D">
        <w:tc>
          <w:tcPr>
            <w:tcW w:w="4785" w:type="dxa"/>
            <w:shd w:val="clear" w:color="auto" w:fill="auto"/>
          </w:tcPr>
          <w:p w:rsidR="00EE5DFD" w:rsidRPr="00BA48E2" w:rsidRDefault="00EE5DFD" w:rsidP="00B63D3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48E2">
              <w:rPr>
                <w:rFonts w:ascii="Times New Roman" w:hAnsi="Times New Roman"/>
                <w:sz w:val="28"/>
                <w:szCs w:val="28"/>
                <w:lang w:val="en-US"/>
              </w:rPr>
              <w:t>Corporate secretary</w:t>
            </w:r>
          </w:p>
          <w:p w:rsidR="00EE5DFD" w:rsidRPr="00BA48E2" w:rsidRDefault="00EE5DFD" w:rsidP="00B63D3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  <w:shd w:val="clear" w:color="auto" w:fill="auto"/>
          </w:tcPr>
          <w:p w:rsidR="00EE5DFD" w:rsidRPr="00BA48E2" w:rsidRDefault="00ED2A1F" w:rsidP="00B63D3D">
            <w:pPr>
              <w:pStyle w:val="a7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Russu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O.V.</w:t>
            </w:r>
            <w:bookmarkStart w:id="0" w:name="_GoBack"/>
            <w:bookmarkEnd w:id="0"/>
          </w:p>
        </w:tc>
      </w:tr>
    </w:tbl>
    <w:p w:rsidR="00EE5DFD" w:rsidRPr="00BA48E2" w:rsidRDefault="00EE5DFD" w:rsidP="00EE5DF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C38AF" w:rsidRDefault="00FC38AF"/>
    <w:sectPr w:rsidR="00FC38AF" w:rsidSect="00B63D3D">
      <w:footerReference w:type="even" r:id="rId9"/>
      <w:footerReference w:type="default" r:id="rId10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25" w:rsidRDefault="00460925">
      <w:r>
        <w:separator/>
      </w:r>
    </w:p>
  </w:endnote>
  <w:endnote w:type="continuationSeparator" w:id="0">
    <w:p w:rsidR="00460925" w:rsidRDefault="0046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A4" w:rsidRDefault="00E04FA4" w:rsidP="00B63D3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4FA4" w:rsidRDefault="00E04FA4" w:rsidP="00B63D3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A4" w:rsidRDefault="00E04FA4" w:rsidP="00B63D3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2A1F">
      <w:rPr>
        <w:rStyle w:val="a6"/>
        <w:noProof/>
      </w:rPr>
      <w:t>3</w:t>
    </w:r>
    <w:r>
      <w:rPr>
        <w:rStyle w:val="a6"/>
      </w:rPr>
      <w:fldChar w:fldCharType="end"/>
    </w:r>
  </w:p>
  <w:p w:rsidR="00E04FA4" w:rsidRDefault="00E04FA4" w:rsidP="00B63D3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25" w:rsidRDefault="00460925">
      <w:r>
        <w:separator/>
      </w:r>
    </w:p>
  </w:footnote>
  <w:footnote w:type="continuationSeparator" w:id="0">
    <w:p w:rsidR="00460925" w:rsidRDefault="00460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C7E68"/>
    <w:multiLevelType w:val="hybridMultilevel"/>
    <w:tmpl w:val="9E883F7C"/>
    <w:lvl w:ilvl="0" w:tplc="EEE0A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AB3FBE"/>
    <w:multiLevelType w:val="hybridMultilevel"/>
    <w:tmpl w:val="4452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257BF"/>
    <w:multiLevelType w:val="hybridMultilevel"/>
    <w:tmpl w:val="5234E9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9703BD"/>
    <w:multiLevelType w:val="hybridMultilevel"/>
    <w:tmpl w:val="8BA472F8"/>
    <w:lvl w:ilvl="0" w:tplc="000AC2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84546"/>
    <w:multiLevelType w:val="hybridMultilevel"/>
    <w:tmpl w:val="47CA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B0301"/>
    <w:multiLevelType w:val="hybridMultilevel"/>
    <w:tmpl w:val="9A78854A"/>
    <w:lvl w:ilvl="0" w:tplc="D8525B0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9F"/>
    <w:rsid w:val="00250551"/>
    <w:rsid w:val="00305C9F"/>
    <w:rsid w:val="0031252D"/>
    <w:rsid w:val="00460925"/>
    <w:rsid w:val="004951F1"/>
    <w:rsid w:val="005726A1"/>
    <w:rsid w:val="006353F9"/>
    <w:rsid w:val="007E0829"/>
    <w:rsid w:val="008B0AF9"/>
    <w:rsid w:val="00936CBE"/>
    <w:rsid w:val="00951223"/>
    <w:rsid w:val="009A699B"/>
    <w:rsid w:val="009F1266"/>
    <w:rsid w:val="00B63D3D"/>
    <w:rsid w:val="00B912A1"/>
    <w:rsid w:val="00D204DA"/>
    <w:rsid w:val="00D7084C"/>
    <w:rsid w:val="00E04FA4"/>
    <w:rsid w:val="00ED2A1F"/>
    <w:rsid w:val="00EE5DFD"/>
    <w:rsid w:val="00F32ADD"/>
    <w:rsid w:val="00F343A4"/>
    <w:rsid w:val="00FC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5DFD"/>
    <w:rPr>
      <w:color w:val="0000FF"/>
      <w:u w:val="single"/>
    </w:rPr>
  </w:style>
  <w:style w:type="paragraph" w:customStyle="1" w:styleId="ConsNormal">
    <w:name w:val="ConsNormal"/>
    <w:rsid w:val="00EE5D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rsid w:val="00EE5DF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E5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E5DFD"/>
  </w:style>
  <w:style w:type="paragraph" w:styleId="a7">
    <w:name w:val="List Paragraph"/>
    <w:basedOn w:val="a"/>
    <w:uiPriority w:val="34"/>
    <w:qFormat/>
    <w:rsid w:val="00EE5D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5DFD"/>
    <w:rPr>
      <w:color w:val="0000FF"/>
      <w:u w:val="single"/>
    </w:rPr>
  </w:style>
  <w:style w:type="paragraph" w:customStyle="1" w:styleId="ConsNormal">
    <w:name w:val="ConsNormal"/>
    <w:rsid w:val="00EE5D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rsid w:val="00EE5DF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E5D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E5DFD"/>
  </w:style>
  <w:style w:type="paragraph" w:styleId="a7">
    <w:name w:val="List Paragraph"/>
    <w:basedOn w:val="a"/>
    <w:uiPriority w:val="34"/>
    <w:qFormat/>
    <w:rsid w:val="00EE5D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et@kuban.elektr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Rustam</cp:lastModifiedBy>
  <cp:revision>10</cp:revision>
  <dcterms:created xsi:type="dcterms:W3CDTF">2012-10-27T18:52:00Z</dcterms:created>
  <dcterms:modified xsi:type="dcterms:W3CDTF">2012-11-05T03:52:00Z</dcterms:modified>
</cp:coreProperties>
</file>